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0"/>
      </w:pPr>
      <w:r>
        <w:rPr>
          <w:sz w:val="50"/>
        </w:rPr>
        <w:t>NEUROCARDIA</w:t>
      </w:r>
    </w:p>
    <w:p>
      <w:pPr>
        <w:pStyle w:val="Title"/>
      </w:pPr>
      <w:r>
        <w:rPr>
          <w:sz w:val="68"/>
        </w:rPr>
        <w:t>State of the</w:t>
        <w:br/>
        <w:t>Neurocardiac Market</w:t>
      </w:r>
    </w:p>
    <w:p>
      <w:pPr>
        <w:pStyle w:val="Subtitle"/>
      </w:pPr>
      <w:r>
        <w:t>Science, innovation opportunities, and a GPT Site proposal</w:t>
      </w:r>
    </w:p>
    <w:p>
      <w:pPr>
        <w:spacing w:after="500"/>
      </w:pPr>
      <w:r>
        <w:t>29 September 2026  |  Strategic research report</w:t>
      </w:r>
    </w:p>
    <w:p>
      <w:pPr>
        <w:keepNext/>
        <w:spacing w:after="100"/>
      </w:pPr>
      <w:r>
        <w:drawing>
          <wp:inline xmlns:a="http://schemas.openxmlformats.org/drawingml/2006/main" xmlns:pic="http://schemas.openxmlformats.org/drawingml/2006/picture">
            <wp:extent cx="6492240" cy="2596896"/>
            <wp:docPr id="1" name="Picture 1" descr="Neurocardia conceptual brain–heart artwork"/>
            <wp:cNvGraphicFramePr>
              <a:graphicFrameLocks noChangeAspect="1"/>
            </wp:cNvGraphicFramePr>
            <a:graphic>
              <a:graphicData uri="http://schemas.openxmlformats.org/drawingml/2006/picture">
                <pic:pic>
                  <pic:nvPicPr>
                    <pic:cNvPr id="0" name="cover.png"/>
                    <pic:cNvPicPr/>
                  </pic:nvPicPr>
                  <pic:blipFill>
                    <a:blip r:embed="rId11"/>
                    <a:stretch>
                      <a:fillRect/>
                    </a:stretch>
                  </pic:blipFill>
                  <pic:spPr>
                    <a:xfrm>
                      <a:off x="0" y="0"/>
                      <a:ext cx="6492240" cy="2596896"/>
                    </a:xfrm>
                    <a:prstGeom prst="rect"/>
                  </pic:spPr>
                </pic:pic>
              </a:graphicData>
            </a:graphic>
          </wp:inline>
        </w:drawing>
      </w:r>
    </w:p>
    <w:p>
      <w:pPr>
        <w:spacing w:before="340" w:after="300"/>
      </w:pPr>
      <w:r>
        <w:rPr>
          <w:sz w:val="34"/>
        </w:rPr>
        <w:t>Unlocking the connections between the nervous system, brain, cardiovascular system, and heart.</w:t>
      </w:r>
    </w:p>
    <w:p>
      <w:r>
        <w:t>An evidence-led foundation for a rich Neurocardia experience: established science, emerging mechanisms, market developments, and a practical path from discovery to research.</w:t>
      </w:r>
    </w:p>
    <w:p>
      <w:pPr>
        <w:pStyle w:val="Caption"/>
      </w:pPr>
      <w:r>
        <w:t>Site visuals are proposed concepts. Commercial scenarios and priorities are analyst assumptions. The research cutoff is 29 September 2026.</w:t>
      </w:r>
    </w:p>
    <w:p>
      <w:r>
        <w:br w:type="page"/>
      </w:r>
    </w:p>
    <w:p>
      <w:pPr>
        <w:pStyle w:val="Heading1"/>
      </w:pPr>
      <w:r>
        <w:t>A guide to the report</w:t>
      </w:r>
    </w:p>
    <w:p>
      <w:r>
        <w:t>Neurocardia can become a distinctive place to understand how the nervous system, brain, cardiovascular system, and heart influence one another—and to identify where those connections create practical opportunities for innovation. The recommended first expression is an interactive, evidence-led atlas and innovation observatory, supported by a focused research program in longitudinal neurocardiac sensing.</w:t>
      </w:r>
    </w:p>
    <w:p>
      <w:r>
        <w:t>This report examines the biological connections, clinical evidence, commercial ecosystem, recent announcements, unmet needs, and a proposed GPT Site experience. The commercial lens is primarily the United States, with international research and selected market developments included. Strategic recommendations and illustrative business assumptions are identified separately from scientific and regulatory findings.</w:t>
      </w:r>
    </w:p>
    <w:p>
      <w:r>
        <w:t>The core proposition is to make the connections understandable without making uncertainty disappear. A compelling experience should leave visitors with a clearer explanation, a source they can inspect, and a worthwhile question they could investigate next.</w:t>
      </w:r>
    </w:p>
    <w:p>
      <w:pPr>
        <w:pStyle w:val="Caption"/>
      </w:pPr>
      <w:r>
        <w:t>Read chapters 01, 17, and 20 first for the recommendation. Chapters 03–14 explain the science. Chapters 15–19 address the market and research agenda. Chapters 20–24 define the proposed Site. Numbered citations link to the source register.</w:t>
      </w:r>
    </w:p>
    <w:p>
      <w:pPr>
        <w:pStyle w:val="Heading2"/>
      </w:pPr>
      <w:r>
        <w:t>Orientation</w:t>
      </w:r>
    </w:p>
    <w:p>
      <w:pPr>
        <w:spacing w:after="80" w:line="288" w:lineRule="auto"/>
      </w:pPr>
      <w:hyperlink w:anchor="ch1">
        <w:r>
          <w:rPr>
            <w:color w:val="205F68"/>
            <w:sz w:val="20"/>
          </w:rPr>
          <w:t>01  Executive recommendation</w:t>
        </w:r>
      </w:hyperlink>
      <w:r>
        <w:t xml:space="preserve">   •   </w:t>
      </w:r>
      <w:hyperlink w:anchor="ch2">
        <w:r>
          <w:rPr>
            <w:color w:val="205F68"/>
            <w:sz w:val="20"/>
          </w:rPr>
          <w:t>02  Scope, evidence, and prior work</w:t>
        </w:r>
      </w:hyperlink>
    </w:p>
    <w:p>
      <w:pPr>
        <w:pStyle w:val="Heading2"/>
      </w:pPr>
      <w:r>
        <w:t>Connections and clinical evidence</w:t>
      </w:r>
    </w:p>
    <w:p>
      <w:pPr>
        <w:spacing w:after="80" w:line="288" w:lineRule="auto"/>
      </w:pPr>
      <w:hyperlink w:anchor="ch3">
        <w:r>
          <w:rPr>
            <w:color w:val="205F68"/>
            <w:sz w:val="20"/>
          </w:rPr>
          <w:t>03  The biological map</w:t>
        </w:r>
      </w:hyperlink>
      <w:r>
        <w:t xml:space="preserve">   •   </w:t>
      </w:r>
      <w:hyperlink w:anchor="ch4">
        <w:r>
          <w:rPr>
            <w:color w:val="205F68"/>
            <w:sz w:val="20"/>
          </w:rPr>
          <w:t>04  Clinical opportunity map</w:t>
        </w:r>
      </w:hyperlink>
      <w:r>
        <w:t xml:space="preserve">   •   </w:t>
      </w:r>
      <w:hyperlink w:anchor="ch5">
        <w:r>
          <w:rPr>
            <w:color w:val="205F68"/>
            <w:sz w:val="20"/>
          </w:rPr>
          <w:t>05  Rhythm and stroke prevention</w:t>
        </w:r>
      </w:hyperlink>
      <w:r>
        <w:t xml:space="preserve">   •   </w:t>
      </w:r>
      <w:hyperlink w:anchor="ch6">
        <w:r>
          <w:rPr>
            <w:color w:val="205F68"/>
            <w:sz w:val="20"/>
          </w:rPr>
          <w:t>06  Stroke can also injure the heart</w:t>
        </w:r>
      </w:hyperlink>
      <w:r>
        <w:t xml:space="preserve">   •   </w:t>
      </w:r>
      <w:hyperlink w:anchor="ch7">
        <w:r>
          <w:rPr>
            <w:color w:val="205F68"/>
            <w:sz w:val="20"/>
          </w:rPr>
          <w:t>07  Stress, emotion, and cardiac function</w:t>
        </w:r>
      </w:hyperlink>
      <w:r>
        <w:t xml:space="preserve">   •   </w:t>
      </w:r>
      <w:hyperlink w:anchor="ch8">
        <w:r>
          <w:rPr>
            <w:color w:val="205F68"/>
            <w:sz w:val="20"/>
          </w:rPr>
          <w:t>08  Blood pressure and vascular brain health</w:t>
        </w:r>
      </w:hyperlink>
      <w:r>
        <w:t xml:space="preserve">   •   </w:t>
      </w:r>
      <w:hyperlink w:anchor="ch9">
        <w:r>
          <w:rPr>
            <w:color w:val="205F68"/>
            <w:sz w:val="20"/>
          </w:rPr>
          <w:t>09  Heart failure and autonomic therapy</w:t>
        </w:r>
      </w:hyperlink>
      <w:r>
        <w:t xml:space="preserve">   •   </w:t>
      </w:r>
      <w:hyperlink w:anchor="ch10">
        <w:r>
          <w:rPr>
            <w:color w:val="205F68"/>
            <w:sz w:val="20"/>
          </w:rPr>
          <w:t>10  Sleep and circadian connections</w:t>
        </w:r>
      </w:hyperlink>
      <w:r>
        <w:t xml:space="preserve">   •   </w:t>
      </w:r>
      <w:hyperlink w:anchor="ch11">
        <w:r>
          <w:rPr>
            <w:color w:val="205F68"/>
            <w:sz w:val="20"/>
          </w:rPr>
          <w:t>11  Dysautonomia, syncope, and nerve injury</w:t>
        </w:r>
      </w:hyperlink>
      <w:r>
        <w:t xml:space="preserve">   •   </w:t>
      </w:r>
      <w:hyperlink w:anchor="ch12">
        <w:r>
          <w:rPr>
            <w:color w:val="205F68"/>
            <w:sz w:val="20"/>
          </w:rPr>
          <w:t>12  Beyond the familiar connections</w:t>
        </w:r>
      </w:hyperlink>
      <w:r>
        <w:t xml:space="preserve">   •   </w:t>
      </w:r>
      <w:hyperlink w:anchor="ch13">
        <w:r>
          <w:rPr>
            <w:color w:val="205F68"/>
            <w:sz w:val="20"/>
          </w:rPr>
          <w:t>13  What the signals actually tell us</w:t>
        </w:r>
      </w:hyperlink>
      <w:r>
        <w:t xml:space="preserve">   •   </w:t>
      </w:r>
      <w:hyperlink w:anchor="ch14">
        <w:r>
          <w:rPr>
            <w:color w:val="205F68"/>
            <w:sz w:val="20"/>
          </w:rPr>
          <w:t>14  The therapeutic frontier</w:t>
        </w:r>
      </w:hyperlink>
    </w:p>
    <w:p>
      <w:pPr>
        <w:pStyle w:val="Heading2"/>
      </w:pPr>
      <w:r>
        <w:t>Market and innovation</w:t>
      </w:r>
    </w:p>
    <w:p>
      <w:pPr>
        <w:spacing w:after="80" w:line="288" w:lineRule="auto"/>
      </w:pPr>
      <w:hyperlink w:anchor="ch15">
        <w:r>
          <w:rPr>
            <w:color w:val="205F68"/>
            <w:sz w:val="20"/>
          </w:rPr>
          <w:t>15  Market structure and competitors</w:t>
        </w:r>
      </w:hyperlink>
      <w:r>
        <w:t xml:space="preserve">   •   </w:t>
      </w:r>
      <w:hyperlink w:anchor="ch16">
        <w:r>
          <w:rPr>
            <w:color w:val="205F68"/>
            <w:sz w:val="20"/>
          </w:rPr>
          <w:t>16  Recent announcements and implications</w:t>
        </w:r>
      </w:hyperlink>
      <w:r>
        <w:t xml:space="preserve">   •   </w:t>
      </w:r>
      <w:hyperlink w:anchor="ch17">
        <w:r>
          <w:rPr>
            <w:color w:val="205F68"/>
            <w:sz w:val="20"/>
          </w:rPr>
          <w:t>17  Ranked opportunities for Neurocardia</w:t>
        </w:r>
      </w:hyperlink>
      <w:r>
        <w:t xml:space="preserve">   •   </w:t>
      </w:r>
      <w:hyperlink w:anchor="ch18">
        <w:r>
          <w:rPr>
            <w:color w:val="205F68"/>
            <w:sz w:val="20"/>
          </w:rPr>
          <w:t>18  Buyers and adoption economics</w:t>
        </w:r>
      </w:hyperlink>
      <w:r>
        <w:t xml:space="preserve">   •   </w:t>
      </w:r>
      <w:hyperlink w:anchor="ch19">
        <w:r>
          <w:rPr>
            <w:color w:val="205F68"/>
            <w:sz w:val="20"/>
          </w:rPr>
          <w:t>19  Six studies that can change the decision</w:t>
        </w:r>
      </w:hyperlink>
    </w:p>
    <w:p>
      <w:pPr>
        <w:pStyle w:val="Heading2"/>
      </w:pPr>
      <w:r>
        <w:t>The Neurocardia experience</w:t>
      </w:r>
    </w:p>
    <w:p>
      <w:pPr>
        <w:spacing w:after="80" w:line="288" w:lineRule="auto"/>
      </w:pPr>
      <w:hyperlink w:anchor="ch20">
        <w:r>
          <w:rPr>
            <w:color w:val="205F68"/>
            <w:sz w:val="20"/>
          </w:rPr>
          <w:t>20  Neurocardia: a Site built for discovery</w:t>
        </w:r>
      </w:hyperlink>
      <w:r>
        <w:t xml:space="preserve">   •   </w:t>
      </w:r>
      <w:hyperlink w:anchor="ch21">
        <w:r>
          <w:rPr>
            <w:color w:val="205F68"/>
            <w:sz w:val="20"/>
          </w:rPr>
          <w:t>21  Visual and interaction design</w:t>
        </w:r>
      </w:hyperlink>
      <w:r>
        <w:t xml:space="preserve">   •   </w:t>
      </w:r>
      <w:hyperlink w:anchor="ch22">
        <w:r>
          <w:rPr>
            <w:color w:val="205F68"/>
            <w:sz w:val="20"/>
          </w:rPr>
          <w:t>22  Grounded AI and editorial governance</w:t>
        </w:r>
      </w:hyperlink>
      <w:r>
        <w:t xml:space="preserve">   •   </w:t>
      </w:r>
      <w:hyperlink w:anchor="ch23">
        <w:r>
          <w:rPr>
            <w:color w:val="205F68"/>
            <w:sz w:val="20"/>
          </w:rPr>
          <w:t>23  Delivery plan and acceptance criteria</w:t>
        </w:r>
      </w:hyperlink>
      <w:r>
        <w:t xml:space="preserve">   •   </w:t>
      </w:r>
      <w:hyperlink w:anchor="ch24">
        <w:r>
          <w:rPr>
            <w:color w:val="205F68"/>
            <w:sz w:val="20"/>
          </w:rPr>
          <w:t>24  Copy-ready brief for the future Site build</w:t>
        </w:r>
      </w:hyperlink>
    </w:p>
    <w:p>
      <w:pPr>
        <w:pStyle w:val="Heading2"/>
      </w:pPr>
      <w:r>
        <w:t>Reference material</w:t>
      </w:r>
    </w:p>
    <w:p>
      <w:pPr>
        <w:spacing w:after="80" w:line="288" w:lineRule="auto"/>
      </w:pPr>
      <w:hyperlink w:anchor="ch25">
        <w:r>
          <w:rPr>
            <w:color w:val="205F68"/>
            <w:sz w:val="20"/>
          </w:rPr>
          <w:t>Appendix A / Claims that need careful wording</w:t>
        </w:r>
      </w:hyperlink>
      <w:r>
        <w:t xml:space="preserve">   •   </w:t>
      </w:r>
      <w:hyperlink w:anchor="ch26">
        <w:r>
          <w:rPr>
            <w:color w:val="205F68"/>
            <w:sz w:val="20"/>
          </w:rPr>
          <w:t>Appendix B / Research method, provenance, and limitations</w:t>
        </w:r>
      </w:hyperlink>
      <w:r>
        <w:t xml:space="preserve">   •   </w:t>
      </w:r>
      <w:hyperlink w:anchor="ch27">
        <w:r>
          <w:rPr>
            <w:color w:val="205F68"/>
            <w:sz w:val="20"/>
          </w:rPr>
          <w:t>Appendix C / Source register</w:t>
        </w:r>
      </w:hyperlink>
    </w:p>
    <w:p>
      <w:bookmarkStart w:id="1" w:name="ch1"/>
      <w:pPr>
        <w:pStyle w:val="Heading1"/>
        <w:pageBreakBefore/>
      </w:pPr>
      <w:r>
        <w:t>01 / Executive recommendation</w:t>
      </w:r>
      <w:bookmarkEnd w:id="1"/>
    </w:p>
    <w:p>
      <w:pPr>
        <w:pStyle w:val="Heading2"/>
      </w:pPr>
      <w:r>
        <w:t>Build an atlas that reveals opportunities between specialties</w:t>
      </w:r>
    </w:p>
    <w:p>
      <w:r>
        <w:t>Position Neurocardia as an evidence-led exploration and innovation platform for the heart–brain–nervous-system connection. Its organizing structure should be the pathways connecting organs, signals, and outcomes. Visitors should be able to move from a question such as “Can the heart change how the brain feels?” to a mechanism, the strongest relevant studies, current technologies, and the experiments still needed.</w:t>
      </w:r>
    </w:p>
    <w:p>
      <w:r>
        <w:t>The recommended Site has three connected experiences: Explore the Connection for understandable science; Evidence and Innovation for researchers, clinicians, industry leaders, and investors; and the Neurocardia Research Studio for proposed studies and transparent demonstrations. The initial audience should be people evaluating innovation across specialties, with an accessible entry layer for curious patients and the public. This avoids forcing either group to navigate content written entirely for the other.</w:t>
      </w:r>
    </w:p>
    <w:p>
      <w:pPr>
        <w:pStyle w:val="Heading2"/>
      </w:pPr>
      <w:r>
        <w:t>Five conclusions that should guide the work</w:t>
      </w:r>
    </w:p>
    <w:p>
      <w:r/>
      <w:r>
        <w:rPr>
          <w:b/>
        </w:rPr>
        <w:t>The biology is real and multidirectional.</w:t>
      </w:r>
      <w:r>
        <w:t xml:space="preserve"> Neural signaling, blood flow, embolism, hormones, inflammation, and behavior connect heart and brain through different mechanisms. Neurocardiology is broader than a single vagus-nerve theory. The market should therefore include direct neural interventions and adjacent technologies that improve the clinical connection between cardiovascular and neurological care. </w:t>
      </w:r>
      <w:r>
        <w:rPr>
          <w:sz w:val="19"/>
        </w:rPr>
        <w:t>[</w:t>
      </w:r>
      <w:hyperlink w:anchor="ref1">
        <w:r>
          <w:rPr>
            <w:color w:val="205F68"/>
            <w:sz w:val="19"/>
          </w:rPr>
          <w:t>1</w:t>
        </w:r>
      </w:hyperlink>
      <w:r>
        <w:rPr>
          <w:sz w:val="19"/>
        </w:rPr>
        <w:t xml:space="preserve">, </w:t>
      </w:r>
      <w:hyperlink w:anchor="ref2">
        <w:r>
          <w:rPr>
            <w:color w:val="205F68"/>
            <w:sz w:val="19"/>
          </w:rPr>
          <w:t>2</w:t>
        </w:r>
      </w:hyperlink>
      <w:r>
        <w:rPr>
          <w:sz w:val="19"/>
        </w:rPr>
        <w:t xml:space="preserve">, </w:t>
      </w:r>
      <w:hyperlink w:anchor="ref3">
        <w:r>
          <w:rPr>
            <w:color w:val="205F68"/>
            <w:sz w:val="19"/>
          </w:rPr>
          <w:t>3</w:t>
        </w:r>
      </w:hyperlink>
      <w:r>
        <w:rPr>
          <w:sz w:val="19"/>
        </w:rPr>
        <w:t>]</w:t>
      </w:r>
      <w:r/>
    </w:p>
    <w:p>
      <w:r/>
      <w:r>
        <w:rPr>
          <w:b/>
        </w:rPr>
        <w:t>The strongest near-term opportunities are often workflow problems.</w:t>
      </w:r>
      <w:r>
        <w:t xml:space="preserve"> Post-stroke rhythm monitoring, blood-pressure management, interpretation of symptoms and signals, and follow-through between specialists already have identifiable clinical users. Neurocardia can help explain and study these gaps before attempting an all-purpose diagnostic platform. </w:t>
      </w:r>
      <w:r>
        <w:rPr>
          <w:sz w:val="19"/>
        </w:rPr>
        <w:t>[</w:t>
      </w:r>
      <w:hyperlink w:anchor="ref8">
        <w:r>
          <w:rPr>
            <w:color w:val="205F68"/>
            <w:sz w:val="19"/>
          </w:rPr>
          <w:t>8</w:t>
        </w:r>
      </w:hyperlink>
      <w:r>
        <w:rPr>
          <w:sz w:val="19"/>
        </w:rPr>
        <w:t xml:space="preserve">, </w:t>
      </w:r>
      <w:hyperlink w:anchor="ref21">
        <w:r>
          <w:rPr>
            <w:color w:val="205F68"/>
            <w:sz w:val="19"/>
          </w:rPr>
          <w:t>21</w:t>
        </w:r>
      </w:hyperlink>
      <w:r>
        <w:rPr>
          <w:sz w:val="19"/>
        </w:rPr>
        <w:t>]</w:t>
      </w:r>
      <w:r/>
    </w:p>
    <w:p>
      <w:r/>
      <w:r>
        <w:rPr>
          <w:b/>
        </w:rPr>
        <w:t>Neuromodulation is commercially credible, but indication specific.</w:t>
      </w:r>
      <w:r>
        <w:t xml:space="preserve"> Baroreflex activation for selected heart-failure patients, renal denervation for hypertension, and paired vagus stimulation for chronic stroke rehabilitation provide different precedents. SetPoint’s rheumatoid-arthritis approval adds an adjacent neuroimmune precedent. None establishes that any vagus device treats every neurocardiac disorder. </w:t>
      </w:r>
      <w:r>
        <w:rPr>
          <w:sz w:val="19"/>
        </w:rPr>
        <w:t>[</w:t>
      </w:r>
      <w:hyperlink w:anchor="ref22">
        <w:r>
          <w:rPr>
            <w:color w:val="205F68"/>
            <w:sz w:val="19"/>
          </w:rPr>
          <w:t>22</w:t>
        </w:r>
      </w:hyperlink>
      <w:r>
        <w:rPr>
          <w:sz w:val="19"/>
        </w:rPr>
        <w:t xml:space="preserve">, </w:t>
      </w:r>
      <w:hyperlink w:anchor="ref24">
        <w:r>
          <w:rPr>
            <w:color w:val="205F68"/>
            <w:sz w:val="19"/>
          </w:rPr>
          <w:t>24</w:t>
        </w:r>
      </w:hyperlink>
      <w:r>
        <w:rPr>
          <w:sz w:val="19"/>
        </w:rPr>
        <w:t xml:space="preserve">, </w:t>
      </w:r>
      <w:hyperlink w:anchor="ref45">
        <w:r>
          <w:rPr>
            <w:color w:val="205F68"/>
            <w:sz w:val="19"/>
          </w:rPr>
          <w:t>45</w:t>
        </w:r>
      </w:hyperlink>
      <w:r>
        <w:rPr>
          <w:sz w:val="19"/>
        </w:rPr>
        <w:t xml:space="preserve">, </w:t>
      </w:r>
      <w:hyperlink w:anchor="ref46">
        <w:r>
          <w:rPr>
            <w:color w:val="205F68"/>
            <w:sz w:val="19"/>
          </w:rPr>
          <w:t>46</w:t>
        </w:r>
      </w:hyperlink>
      <w:r>
        <w:rPr>
          <w:sz w:val="19"/>
        </w:rPr>
        <w:t>]</w:t>
      </w:r>
      <w:r/>
    </w:p>
    <w:p>
      <w:r/>
      <w:r>
        <w:rPr>
          <w:b/>
        </w:rPr>
        <w:t>More signals do not automatically produce better decisions.</w:t>
      </w:r>
      <w:r>
        <w:t xml:space="preserve"> An ECG, EEG, blood-pressure record, respiratory signal, and symptom diary can be complementary. Incremental value must be demonstrated against the best simpler alternative. Simultaneous measurement establishes temporal context; it does not by itself establish causation, clinical benefit, or secure identity attribution. </w:t>
      </w:r>
      <w:r>
        <w:rPr>
          <w:sz w:val="19"/>
        </w:rPr>
        <w:t>[</w:t>
      </w:r>
      <w:hyperlink w:anchor="ref40">
        <w:r>
          <w:rPr>
            <w:color w:val="205F68"/>
            <w:sz w:val="19"/>
          </w:rPr>
          <w:t>40</w:t>
        </w:r>
      </w:hyperlink>
      <w:r>
        <w:rPr>
          <w:sz w:val="19"/>
        </w:rPr>
        <w:t xml:space="preserve">, </w:t>
      </w:r>
      <w:hyperlink w:anchor="ref41">
        <w:r>
          <w:rPr>
            <w:color w:val="205F68"/>
            <w:sz w:val="19"/>
          </w:rPr>
          <w:t>41</w:t>
        </w:r>
      </w:hyperlink>
      <w:r>
        <w:rPr>
          <w:sz w:val="19"/>
        </w:rPr>
        <w:t>]</w:t>
      </w:r>
      <w:r/>
    </w:p>
    <w:p>
      <w:r/>
      <w:r>
        <w:rPr>
          <w:b/>
        </w:rPr>
        <w:t>The Site should earn trust through visible evidence.</w:t>
      </w:r>
      <w:r>
        <w:t xml:space="preserve"> Neutral results, conflicting populations, measurement limitations, and differences between approval and coverage should be part of the experience. They make the platform useful to serious innovators and protect the audience from exaggerated certainty.</w:t>
      </w:r>
    </w:p>
    <w:p>
      <w:pPr>
        <w:pStyle w:val="Heading2"/>
      </w:pPr>
      <w:r>
        <w:t>Recommended order of execution</w:t>
      </w:r>
    </w:p>
    <w:p>
      <w:r>
        <w:t>First, create the Neurocardia atlas, evidence library, market observatory, and guided journeys using this report as the initial editorial source. Second, validate demand for a cross-specialty research and workflow service with potential buyers. Third, pursue a narrowly defined multimodal sensing study, initially asking whether brain and autonomic context adds useful information to cardiac measurements. Keep EEG identity attribution as a separate experimental workstream with its own success criteria.</w:t>
      </w:r>
    </w:p>
    <w:p>
      <w:bookmarkStart w:id="2" w:name="ch2"/>
      <w:pPr>
        <w:pStyle w:val="Heading1"/>
        <w:pageBreakBefore w:val="0"/>
      </w:pPr>
      <w:r>
        <w:t>02 / Scope, evidence, and prior work</w:t>
      </w:r>
      <w:bookmarkEnd w:id="2"/>
    </w:p>
    <w:p>
      <w:pPr>
        <w:pStyle w:val="Heading2"/>
      </w:pPr>
      <w:r>
        <w:t>Market definition</w:t>
      </w:r>
    </w:p>
    <w:p>
      <w:r>
        <w:t>For this report, the neurocardiac market comprises technologies and services that measure, explain, prevent, or treat clinically important connections between the nervous system and cardiovascular system. It is a market map spanning existing categories, rather than an established reporting category with a single accepted revenue denominator.</w:t>
      </w:r>
    </w:p>
    <w:p>
      <w:r>
        <w:t>The core includes autonomic diagnostics, neural control of arrhythmia and blood pressure, cardiovascular neuromodulation, and brain–heart physiological measurement. The adjacent layer includes cardioembolic stroke prevention, stroke imaging and coordination, post-stroke rehabilitation, sleep physiology, cognitive outcomes of cardiovascular disease, and multimodal remote monitoring. The research frontier includes targeted neural circuits, neuroimmune therapies, advanced coupling measures, and experimental EEG attribution.</w:t>
      </w:r>
    </w:p>
    <w:p>
      <w:r>
        <w:t>This is a structured narrative review, not a registered systematic review or exhaustive company census. Source selection favors original studies, professional guidance, FDA and CMS records, SEC filings, and first-party announcements. Where only an abstract or official summary was accessible, conclusions stay within that material. Company claims establish what the company reports; they do not independently establish clinical superiority. Publication dates, announcement dates, study years, and this report’s access date are not interchangeable.</w:t>
      </w:r>
    </w:p>
    <w:p>
      <w:pPr>
        <w:pStyle w:val="Heading2"/>
      </w:pPr>
      <w:r>
        <w:t>Continuity with the earlier Neurocardia work</w:t>
      </w:r>
    </w:p>
    <w:p>
      <w:r>
        <w:t>Four retained documents inform the direction: the Neurocardia Business Plan; the Keycard and Neurocard in-ear EEG feasibility report; the 26 August 2026 EEG authentication feasibility protocol; and the 29 September 2026 sleep–heart evidence and strategy report. These are conceptual and historical inputs, not independent scientific validation. Their provenance is listed in Appendix B.</w:t>
      </w:r>
    </w:p>
    <w:p>
      <w:r>
        <w:t>Retain the earlier emphasis on repeated home measurements, sleep as an informative observation window, individual context, and trustworthy data. Expand from sleep-centered identity and incentives into a broader neurocardiac knowledge and innovation platform. Carry forward the later feasibility protocol’s separation of session authorization, experimental person-associated EEG inference, and attribution of contemporaneous wearable data.</w:t>
      </w:r>
    </w:p>
    <w:p>
      <w:r>
        <w:t>Do not carry forward numerical identity-accuracy claims, market forecasts, predicted event detection, insurance savings, or patent-strength assertions from the older plan as established facts. An experimental EEG identity signal is distinct from a clinically useful health measurement; neither guarantees that an intervention improves outcomes. The new Neurocardia narrative should stand on its own and remain independent of any single sleep-device manufacturer.</w:t>
      </w:r>
    </w:p>
    <w:p>
      <w:pPr>
        <w:pStyle w:val="Heading2"/>
      </w:pPr>
      <w:r>
        <w:t>Evidence labels for every claim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4032"/>
        <w:gridCol w:w="4032"/>
      </w:tblGrid>
      <w:tr>
        <w:trPr>
          <w:cantSplit/>
          <w:tblHeader/>
        </w:trPr>
        <w:tc>
          <w:tcPr>
            <w:tcW w:type="dxa" w:w="2160"/>
            <w:vAlign w:val="center"/>
            <w:shd w:fill="173A4B"/>
            <w:tcMar>
              <w:top w:w="90" w:type="dxa"/>
              <w:bottom w:w="90" w:type="dxa"/>
              <w:left w:w="95" w:type="dxa"/>
              <w:right w:w="95" w:type="dxa"/>
            </w:tcMar>
          </w:tcPr>
          <w:p>
            <w:pPr>
              <w:keepNext/>
              <w:spacing w:after="0" w:line="257" w:lineRule="auto"/>
            </w:pPr>
            <w:r>
              <w:rPr>
                <w:b/>
                <w:color w:val="FFFFFF"/>
                <w:sz w:val="19"/>
              </w:rPr>
              <w:t>Label</w:t>
            </w:r>
          </w:p>
        </w:tc>
        <w:tc>
          <w:tcPr>
            <w:tcW w:type="dxa" w:w="4032"/>
            <w:vAlign w:val="center"/>
            <w:shd w:fill="173A4B"/>
            <w:tcMar>
              <w:top w:w="90" w:type="dxa"/>
              <w:bottom w:w="90" w:type="dxa"/>
              <w:left w:w="95" w:type="dxa"/>
              <w:right w:w="95" w:type="dxa"/>
            </w:tcMar>
          </w:tcPr>
          <w:p>
            <w:pPr>
              <w:keepNext/>
              <w:spacing w:after="0" w:line="257" w:lineRule="auto"/>
            </w:pPr>
            <w:r>
              <w:rPr>
                <w:b/>
                <w:color w:val="FFFFFF"/>
                <w:sz w:val="19"/>
              </w:rPr>
              <w:t>Meaning</w:t>
            </w:r>
          </w:p>
        </w:tc>
        <w:tc>
          <w:tcPr>
            <w:tcW w:type="dxa" w:w="4032"/>
            <w:vAlign w:val="center"/>
            <w:shd w:fill="173A4B"/>
            <w:tcMar>
              <w:top w:w="90" w:type="dxa"/>
              <w:bottom w:w="90" w:type="dxa"/>
              <w:left w:w="95" w:type="dxa"/>
              <w:right w:w="95" w:type="dxa"/>
            </w:tcMar>
          </w:tcPr>
          <w:p>
            <w:pPr>
              <w:keepNext/>
              <w:spacing w:after="0" w:line="257" w:lineRule="auto"/>
            </w:pPr>
            <w:r>
              <w:rPr>
                <w:b/>
                <w:color w:val="FFFFFF"/>
                <w:sz w:val="19"/>
              </w:rPr>
              <w:t>Appropriate use</w:t>
            </w:r>
          </w:p>
        </w:tc>
      </w:tr>
      <w:tr>
        <w:trPr>
          <w:cantSplit/>
        </w:trPr>
        <w:tc>
          <w:tcPr>
            <w:tcW w:type="dxa" w:w="2160"/>
            <w:vAlign w:val="center"/>
            <w:shd w:fill="F0F5F5"/>
            <w:tcMar>
              <w:top w:w="90" w:type="dxa"/>
              <w:bottom w:w="90" w:type="dxa"/>
              <w:left w:w="95" w:type="dxa"/>
              <w:right w:w="95" w:type="dxa"/>
            </w:tcMar>
          </w:tcPr>
          <w:p>
            <w:pPr>
              <w:keepNext/>
              <w:spacing w:after="0" w:line="257" w:lineRule="auto"/>
            </w:pPr>
            <w:r>
              <w:rPr>
                <w:b w:val="0"/>
                <w:color w:val="112534"/>
                <w:sz w:val="19"/>
              </w:rPr>
              <w:t>Established</w:t>
            </w:r>
          </w:p>
        </w:tc>
        <w:tc>
          <w:tcPr>
            <w:tcW w:type="dxa" w:w="4032"/>
            <w:vAlign w:val="center"/>
            <w:shd w:fill="F0F5F5"/>
            <w:tcMar>
              <w:top w:w="90" w:type="dxa"/>
              <w:bottom w:w="90" w:type="dxa"/>
              <w:left w:w="95" w:type="dxa"/>
              <w:right w:w="95" w:type="dxa"/>
            </w:tcMar>
          </w:tcPr>
          <w:p>
            <w:pPr>
              <w:keepNext/>
              <w:spacing w:after="0" w:line="257" w:lineRule="auto"/>
            </w:pPr>
            <w:r>
              <w:rPr>
                <w:b w:val="0"/>
                <w:color w:val="112534"/>
                <w:sz w:val="19"/>
              </w:rPr>
              <w:t>Convergent physiology, guidance, or sufficiently mature clinical evidence</w:t>
            </w:r>
          </w:p>
        </w:tc>
        <w:tc>
          <w:tcPr>
            <w:tcW w:type="dxa" w:w="4032"/>
            <w:vAlign w:val="center"/>
            <w:shd w:fill="F0F5F5"/>
            <w:tcMar>
              <w:top w:w="90" w:type="dxa"/>
              <w:bottom w:w="90" w:type="dxa"/>
              <w:left w:w="95" w:type="dxa"/>
              <w:right w:w="95" w:type="dxa"/>
            </w:tcMar>
          </w:tcPr>
          <w:p>
            <w:pPr>
              <w:keepNext/>
              <w:spacing w:after="0" w:line="257" w:lineRule="auto"/>
            </w:pPr>
            <w:r>
              <w:rPr>
                <w:b w:val="0"/>
                <w:color w:val="112534"/>
                <w:sz w:val="19"/>
              </w:rPr>
              <w:t>Explain accepted mechanisms within their scope</w:t>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Clinical evidence</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Human trial or observational finding with a defined population and endpoint</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Show study design and limitations beside the finding</w:t>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Emerging</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Small trials, early replication, or incomplete clinical utility</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Explain why it is promising and what is missing</w:t>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Preclinical</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Animal, cellular, or mechanistic laboratory evidence</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Inspire hypotheses without promising human benefit</w:t>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Proposed</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Neurocardia strategy, design, study, or business assumption</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Invite evaluation; never portray as a product capability</w:t>
            </w:r>
          </w:p>
        </w:tc>
      </w:tr>
    </w:tbl>
    <w:p>
      <w:pPr>
        <w:spacing w:after="20"/>
      </w:pPr>
    </w:p>
    <w:p>
      <w:r>
        <w:t>Regulatory status should be a separate field: FDA approved, FDA cleared, investigational, company-reported designation, wellness, or unverified for the use described. A scientifically plausible mechanism and a commercial product can occupy different evidence levels.</w:t>
      </w:r>
    </w:p>
    <w:p>
      <w:bookmarkStart w:id="3" w:name="ch3"/>
      <w:pPr>
        <w:pStyle w:val="Heading1"/>
        <w:pageBreakBefore w:val="0"/>
      </w:pPr>
      <w:r>
        <w:t>03 / The biological map</w:t>
      </w:r>
      <w:bookmarkEnd w:id="3"/>
    </w:p>
    <w:p>
      <w:pPr>
        <w:pStyle w:val="Heading2"/>
      </w:pPr>
      <w:r>
        <w:t>The heart generates electricity and the nervous system regulates it</w:t>
      </w:r>
    </w:p>
    <w:p>
      <w:r>
        <w:t xml:space="preserve">The sinoatrial node contains specialized cardiac pacemaker cells that can generate electrical impulses intrinsically. Those impulses propagate through the cardiac conduction system and myocardium. A surface ECG records resulting electrical potential differences, primarily reflecting cardiac depolarization and repolarization. It does not directly record the action potentials of the nerves innervating the heart. </w:t>
      </w:r>
      <w:r>
        <w:rPr>
          <w:sz w:val="19"/>
        </w:rPr>
        <w:t>[</w:t>
      </w:r>
      <w:hyperlink w:anchor="ref1">
        <w:r>
          <w:rPr>
            <w:color w:val="205F68"/>
            <w:sz w:val="19"/>
          </w:rPr>
          <w:t>1</w:t>
        </w:r>
      </w:hyperlink>
      <w:r>
        <w:rPr>
          <w:sz w:val="19"/>
        </w:rPr>
        <w:t>]</w:t>
      </w:r>
      <w:r/>
    </w:p>
    <w:p>
      <w:r>
        <w:t xml:space="preserve">The nervous system changes the timing, conduction, force, and reflex regulation of cardiac activity. Sympathetic and parasympathetic influences interact with intrinsic cardiac neural networks, circulating mediators, and the underlying myocardial substrate. Arrhythmias can involve autonomic triggers, but scar, ion-channel properties, ischemia, structural disease, and other mechanisms also matter. “Heart rhythm is influenced by nerves” is accurate; “all heart rhythm is nerve sourced” is not. </w:t>
      </w:r>
      <w:r>
        <w:rPr>
          <w:sz w:val="19"/>
        </w:rPr>
        <w:t>[</w:t>
      </w:r>
      <w:hyperlink w:anchor="ref2">
        <w:r>
          <w:rPr>
            <w:color w:val="205F68"/>
            <w:sz w:val="19"/>
          </w:rPr>
          <w:t>2</w:t>
        </w:r>
      </w:hyperlink>
      <w:r>
        <w:rPr>
          <w:sz w:val="19"/>
        </w:rPr>
        <w:t>]</w:t>
      </w:r>
      <w:r/>
    </w:p>
    <w:p>
      <w:pPr>
        <w:pStyle w:val="Heading2"/>
      </w:pPr>
      <w:r>
        <w:t>Six routes of communication</w:t>
      </w:r>
    </w:p>
    <w:p>
      <w:r/>
      <w:r>
        <w:rPr>
          <w:b/>
        </w:rPr>
        <w:t>Neural control and feedback.</w:t>
      </w:r>
      <w:r>
        <w:t xml:space="preserve"> Brainstem and higher autonomic networks influence the heart through peripheral nerves. Sensory pathways return information about cardiovascular conditions to the central nervous system. The direction can therefore run from brain to heart or heart to brain, with reflexes operating across several levels. Cardiovascular disease may also remodel central neural networks over time, extending the question beyond short-term reflexes. </w:t>
      </w:r>
      <w:r>
        <w:rPr>
          <w:sz w:val="19"/>
        </w:rPr>
        <w:t>[</w:t>
      </w:r>
      <w:hyperlink w:anchor="ref2">
        <w:r>
          <w:rPr>
            <w:color w:val="205F68"/>
            <w:sz w:val="19"/>
          </w:rPr>
          <w:t>2</w:t>
        </w:r>
      </w:hyperlink>
      <w:r>
        <w:rPr>
          <w:sz w:val="19"/>
        </w:rPr>
        <w:t xml:space="preserve">, </w:t>
      </w:r>
      <w:hyperlink w:anchor="ref3">
        <w:r>
          <w:rPr>
            <w:color w:val="205F68"/>
            <w:sz w:val="19"/>
          </w:rPr>
          <w:t>3</w:t>
        </w:r>
      </w:hyperlink>
      <w:r>
        <w:rPr>
          <w:sz w:val="19"/>
        </w:rPr>
        <w:t xml:space="preserve">, </w:t>
      </w:r>
      <w:hyperlink w:anchor="ref71">
        <w:r>
          <w:rPr>
            <w:color w:val="205F68"/>
            <w:sz w:val="19"/>
          </w:rPr>
          <w:t>71</w:t>
        </w:r>
      </w:hyperlink>
      <w:r>
        <w:rPr>
          <w:sz w:val="19"/>
        </w:rPr>
        <w:t>]</w:t>
      </w:r>
      <w:r/>
    </w:p>
    <w:p>
      <w:r/>
      <w:r>
        <w:rPr>
          <w:b/>
        </w:rPr>
        <w:t>Hemodynamics and oxygen delivery.</w:t>
      </w:r>
      <w:r>
        <w:t xml:space="preserve"> The heart and vascular system determine cerebral perfusion, while cerebral autoregulation helps stabilize blood flow. Low output, arrest, and major pressure disturbances can threaten brain function. Chronic vascular disease can injure the brain through routes different from an acute embolic stroke. </w:t>
      </w:r>
      <w:r>
        <w:rPr>
          <w:sz w:val="19"/>
        </w:rPr>
        <w:t>[</w:t>
      </w:r>
      <w:hyperlink w:anchor="ref20">
        <w:r>
          <w:rPr>
            <w:color w:val="205F68"/>
            <w:sz w:val="19"/>
          </w:rPr>
          <w:t>20</w:t>
        </w:r>
      </w:hyperlink>
      <w:r>
        <w:rPr>
          <w:sz w:val="19"/>
        </w:rPr>
        <w:t>]</w:t>
      </w:r>
      <w:r/>
    </w:p>
    <w:p>
      <w:r/>
      <w:r>
        <w:rPr>
          <w:b/>
        </w:rPr>
        <w:t>Thromboembolism and structural pathways.</w:t>
      </w:r>
      <w:r>
        <w:t xml:space="preserve"> AF-associated thrombus and selected structural conditions can connect cardiac pathology to brain injury. A patent foramen ovale offers a different route in selected patients: a potential right-to-left passage for emboli. These connections belong in Neurocardia even though they are not primarily neural mechanisms. </w:t>
      </w:r>
      <w:r>
        <w:rPr>
          <w:sz w:val="19"/>
        </w:rPr>
        <w:t>[</w:t>
      </w:r>
      <w:hyperlink w:anchor="ref6">
        <w:r>
          <w:rPr>
            <w:color w:val="205F68"/>
            <w:sz w:val="19"/>
          </w:rPr>
          <w:t>6</w:t>
        </w:r>
      </w:hyperlink>
      <w:r>
        <w:rPr>
          <w:sz w:val="19"/>
        </w:rPr>
        <w:t xml:space="preserve">, </w:t>
      </w:r>
      <w:hyperlink w:anchor="ref39">
        <w:r>
          <w:rPr>
            <w:color w:val="205F68"/>
            <w:sz w:val="19"/>
          </w:rPr>
          <w:t>39</w:t>
        </w:r>
      </w:hyperlink>
      <w:r>
        <w:rPr>
          <w:sz w:val="19"/>
        </w:rPr>
        <w:t>]</w:t>
      </w:r>
      <w:r/>
    </w:p>
    <w:p>
      <w:r/>
      <w:r>
        <w:rPr>
          <w:b/>
        </w:rPr>
        <w:t>Neuroendocrine and immune signaling.</w:t>
      </w:r>
      <w:r>
        <w:t xml:space="preserve"> Stress responses and inflammatory signaling can alter both systems. Recent experiments identify specific immune–neural circuits after cardiac injury, providing hypotheses for targeted intervention rather than evidence for an available universal therapy. </w:t>
      </w:r>
      <w:r>
        <w:rPr>
          <w:sz w:val="19"/>
        </w:rPr>
        <w:t>[</w:t>
      </w:r>
      <w:hyperlink w:anchor="ref30">
        <w:r>
          <w:rPr>
            <w:color w:val="205F68"/>
            <w:sz w:val="19"/>
          </w:rPr>
          <w:t>30</w:t>
        </w:r>
      </w:hyperlink>
      <w:r>
        <w:rPr>
          <w:sz w:val="19"/>
        </w:rPr>
        <w:t xml:space="preserve">, </w:t>
      </w:r>
      <w:hyperlink w:anchor="ref47">
        <w:r>
          <w:rPr>
            <w:color w:val="205F68"/>
            <w:sz w:val="19"/>
          </w:rPr>
          <w:t>47</w:t>
        </w:r>
      </w:hyperlink>
      <w:r>
        <w:rPr>
          <w:sz w:val="19"/>
        </w:rPr>
        <w:t>]</w:t>
      </w:r>
      <w:r/>
    </w:p>
    <w:p>
      <w:r/>
      <w:r>
        <w:rPr>
          <w:b/>
        </w:rPr>
        <w:t>Sleep and circadian state.</w:t>
      </w:r>
      <w:r>
        <w:t xml:space="preserve"> Sleep stage, breathing, arousal, and timing change the conditions in which cardiac and autonomic signals should be interpreted. The same heart-rate change can have different meaning during exercise, sleep, awakening, fever, or emotional stress. </w:t>
      </w:r>
      <w:r>
        <w:rPr>
          <w:sz w:val="19"/>
        </w:rPr>
        <w:t>[</w:t>
      </w:r>
      <w:hyperlink w:anchor="ref29">
        <w:r>
          <w:rPr>
            <w:color w:val="205F68"/>
            <w:sz w:val="19"/>
          </w:rPr>
          <w:t>29</w:t>
        </w:r>
      </w:hyperlink>
      <w:r>
        <w:rPr>
          <w:sz w:val="19"/>
        </w:rPr>
        <w:t xml:space="preserve">, </w:t>
      </w:r>
      <w:hyperlink w:anchor="ref70">
        <w:r>
          <w:rPr>
            <w:color w:val="205F68"/>
            <w:sz w:val="19"/>
          </w:rPr>
          <w:t>70</w:t>
        </w:r>
      </w:hyperlink>
      <w:r>
        <w:rPr>
          <w:sz w:val="19"/>
        </w:rPr>
        <w:t>]</w:t>
      </w:r>
      <w:r/>
    </w:p>
    <w:p>
      <w:r/>
      <w:r>
        <w:rPr>
          <w:b/>
        </w:rPr>
        <w:t>Behavior and interoception.</w:t>
      </w:r>
      <w:r>
        <w:t xml:space="preserve"> Bodily signals contribute to the brain’s representation of internal state, while emotion and behavior change cardiovascular demands. A compelling Site should show this feedback without suggesting that cardiovascular symptoms are simply psychological. </w:t>
      </w:r>
      <w:r>
        <w:rPr>
          <w:sz w:val="19"/>
        </w:rPr>
        <w:t>[</w:t>
      </w:r>
      <w:hyperlink w:anchor="ref15">
        <w:r>
          <w:rPr>
            <w:color w:val="205F68"/>
            <w:sz w:val="19"/>
          </w:rPr>
          <w:t>15</w:t>
        </w:r>
      </w:hyperlink>
      <w:r>
        <w:rPr>
          <w:sz w:val="19"/>
        </w:rPr>
        <w:t xml:space="preserve">, </w:t>
      </w:r>
      <w:hyperlink w:anchor="ref17">
        <w:r>
          <w:rPr>
            <w:color w:val="205F68"/>
            <w:sz w:val="19"/>
          </w:rPr>
          <w:t>17</w:t>
        </w:r>
      </w:hyperlink>
      <w:r>
        <w:rPr>
          <w:sz w:val="19"/>
        </w:rPr>
        <w:t>]</w:t>
      </w:r>
      <w:r/>
    </w:p>
    <w:p>
      <w:pPr>
        <w:keepNext/>
        <w:spacing w:after="100"/>
      </w:pPr>
      <w:r>
        <w:drawing>
          <wp:inline xmlns:a="http://schemas.openxmlformats.org/drawingml/2006/main" xmlns:pic="http://schemas.openxmlformats.org/drawingml/2006/picture">
            <wp:extent cx="6492240" cy="4422838"/>
            <wp:docPr id="2" name="Picture 2" descr="Figure 1. The connection atlas organizes distinct neural, vascular, biochemical, and behavioral pathways. Conceptual illustration; not an anatomical or causal model for an individual."/>
            <wp:cNvGraphicFramePr>
              <a:graphicFrameLocks noChangeAspect="1"/>
            </wp:cNvGraphicFramePr>
            <a:graphic>
              <a:graphicData uri="http://schemas.openxmlformats.org/drawingml/2006/picture">
                <pic:pic>
                  <pic:nvPicPr>
                    <pic:cNvPr id="0" name="pathways.png"/>
                    <pic:cNvPicPr/>
                  </pic:nvPicPr>
                  <pic:blipFill>
                    <a:blip r:embed="rId12"/>
                    <a:stretch>
                      <a:fillRect/>
                    </a:stretch>
                  </pic:blipFill>
                  <pic:spPr>
                    <a:xfrm>
                      <a:off x="0" y="0"/>
                      <a:ext cx="6492240" cy="4422838"/>
                    </a:xfrm>
                    <a:prstGeom prst="rect"/>
                  </pic:spPr>
                </pic:pic>
              </a:graphicData>
            </a:graphic>
          </wp:inline>
        </w:drawing>
      </w:r>
    </w:p>
    <w:p>
      <w:pPr>
        <w:pStyle w:val="Caption"/>
      </w:pPr>
      <w:r>
        <w:t>Figure 1. The connection atlas organizes distinct neural, vascular, biochemical, and behavioral pathways. Conceptual illustration; not an anatomical or causal model for an individual.</w:t>
      </w:r>
    </w:p>
    <w:p>
      <w:r>
        <w:t>The atlas should allow the visitor to select a route, direction, timescale, and clinical context. A neural connection, a blood-flow connection, and an inflammatory association should never be drawn as if they were the same type of causal edge.</w:t>
      </w:r>
    </w:p>
    <w:p>
      <w:bookmarkStart w:id="4" w:name="ch4"/>
      <w:pPr>
        <w:pStyle w:val="Heading1"/>
        <w:pageBreakBefore w:val="0"/>
      </w:pPr>
      <w:r>
        <w:t>04 / Clinical opportunity map</w:t>
      </w:r>
      <w:bookmarkEnd w:id="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Segment</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Connection</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Evidence position</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Priority innovation question</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Rhythm and AF</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Autonomic modulation plus cardiac electrical substrate</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Established biology; selected interventions emerging</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Which context improves interpretation or treatment selection?</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Cardioembolic stroke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Cardiac thrombus reaches brain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Established; treatment depends on phenotype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Can detection reliably lead to appropriate completed care?</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Stroke heart syndrome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Brain injury can precipitate cardiac injury and rhythm disturbance</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Established syndrome; targeted treatment uncertain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Which patients need coordinated cardiac follow-up?</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Stress and Takotsubo</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Autonomic and endocrine responses affect cardiac function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Human associations and clinical syndrome; mechanistic gaps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Can recovery and context distinguish meaningful patterns?</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Hypertension and cognition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Vascular injury plus autonomic control and perfusion</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Strong clinical relevance; positive BP intervention evidence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Can a shared heart–brain goal improve sustained BP control?</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Heart failure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Neurohumoral activation, impaired perfusion, cognition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Established; device benefit is endpoint specific</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Who benefits from a neural intervention, and how is benefit measured?</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Sleep and breathing</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Arousals, hypoxia, autonomic shifts, cardiopulmonary interactions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Strong associations; heterogeneous treatment evidence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Does physiological phenotype add value beyond event counts?</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Syncope and POTS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Reflexes, orthostatic physiology, volume and vascular responses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Established disorders; varied mechanisms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Can symptoms be linked to usable multichannel measurements?</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Epilepsy and SUDEP</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Brain activity, breathing, arousal, cardiac function</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Important connection; prediction remains difficult</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Which monitoring pathway is actionable and validated?</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Diabetes and neurodegeneration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Autonomic injury alters rate and pressure responses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Established manifestations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Can longitudinal context improve recognition and safe care?</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Rehabilitation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Neural stimulation paired with motor learning</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Approved use for selected chronic stroke patients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Can the full referral-to-rehabilitation pathway be completed?</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Neuroimmune and molecular therapies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Shared injury pathways across organs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Mostly preclinical or early clinical</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Which mechanism and endpoint will translate into human benefit?</w:t>
            </w:r>
          </w:p>
        </w:tc>
      </w:tr>
    </w:tbl>
    <w:p>
      <w:pPr>
        <w:spacing w:after="20"/>
      </w:pPr>
    </w:p>
    <w:p>
      <w:r>
        <w:t>This matrix is a strategic synthesis. Supporting evidence and commercial boundaries are detailed in the following sections. Priority does not imply that Neurocardia already owns a validated product for a segment.</w:t>
      </w:r>
    </w:p>
    <w:p>
      <w:pPr>
        <w:pStyle w:val="Heading2"/>
      </w:pPr>
      <w:r>
        <w:t>How to read a connection</w:t>
      </w:r>
    </w:p>
    <w:p>
      <w:r>
        <w:t>Each pathway needs four separate questions. Is the connection biologically established? Can it be measured reliably in the intended setting? Does measuring it improve a decision? Does acting on that decision improve a meaningful outcome? Many attractive products pass the first question and remain unproven on the other three.</w:t>
      </w:r>
    </w:p>
    <w:p>
      <w:r>
        <w:t xml:space="preserve">For example, a relationship between AF and stroke does not mean every brief device-detected episode warrants the same response. Likewise, a relationship between sleep and cardiovascular disease does not imply that every sleep intervention reduces cardiovascular events. The Site’s comparative tools should make these distinctions easy to inspect. </w:t>
      </w:r>
      <w:r>
        <w:rPr>
          <w:sz w:val="19"/>
        </w:rPr>
        <w:t>[</w:t>
      </w:r>
      <w:hyperlink w:anchor="ref9">
        <w:r>
          <w:rPr>
            <w:color w:val="205F68"/>
            <w:sz w:val="19"/>
          </w:rPr>
          <w:t>9</w:t>
        </w:r>
      </w:hyperlink>
      <w:r>
        <w:rPr>
          <w:sz w:val="19"/>
        </w:rPr>
        <w:t xml:space="preserve">, </w:t>
      </w:r>
      <w:hyperlink w:anchor="ref10">
        <w:r>
          <w:rPr>
            <w:color w:val="205F68"/>
            <w:sz w:val="19"/>
          </w:rPr>
          <w:t>10</w:t>
        </w:r>
      </w:hyperlink>
      <w:r>
        <w:rPr>
          <w:sz w:val="19"/>
        </w:rPr>
        <w:t xml:space="preserve">, </w:t>
      </w:r>
      <w:hyperlink w:anchor="ref11">
        <w:r>
          <w:rPr>
            <w:color w:val="205F68"/>
            <w:sz w:val="19"/>
          </w:rPr>
          <w:t>11</w:t>
        </w:r>
      </w:hyperlink>
      <w:r>
        <w:rPr>
          <w:sz w:val="19"/>
        </w:rPr>
        <w:t xml:space="preserve">, </w:t>
      </w:r>
      <w:hyperlink w:anchor="ref28">
        <w:r>
          <w:rPr>
            <w:color w:val="205F68"/>
            <w:sz w:val="19"/>
          </w:rPr>
          <w:t>28</w:t>
        </w:r>
      </w:hyperlink>
      <w:r>
        <w:rPr>
          <w:sz w:val="19"/>
        </w:rPr>
        <w:t>]</w:t>
      </w:r>
      <w:r/>
    </w:p>
    <w:p>
      <w:bookmarkStart w:id="5" w:name="ch5"/>
      <w:pPr>
        <w:pStyle w:val="Heading1"/>
        <w:pageBreakBefore w:val="0"/>
      </w:pPr>
      <w:r>
        <w:t>05 / Rhythm and stroke prevention</w:t>
      </w:r>
      <w:bookmarkEnd w:id="5"/>
    </w:p>
    <w:p>
      <w:pPr>
        <w:pStyle w:val="Heading2"/>
      </w:pPr>
      <w:r>
        <w:t>A clinically useful entry point with substantial competition</w:t>
      </w:r>
    </w:p>
    <w:p>
      <w:r>
        <w:t xml:space="preserve">AF connects a common cardiac disorder to a major neurological consequence. The American Heart Association currently describes more than 10 million affected people in the United States. This is a disease-burden estimate, not the eligible population for a particular device or the addressable market for Neurocardia. </w:t>
      </w:r>
      <w:r>
        <w:rPr>
          <w:sz w:val="19"/>
        </w:rPr>
        <w:t>[</w:t>
      </w:r>
      <w:hyperlink w:anchor="ref6">
        <w:r>
          <w:rPr>
            <w:color w:val="205F68"/>
            <w:sz w:val="19"/>
          </w:rPr>
          <w:t>6</w:t>
        </w:r>
      </w:hyperlink>
      <w:r>
        <w:rPr>
          <w:sz w:val="19"/>
        </w:rPr>
        <w:t>]</w:t>
      </w:r>
      <w:r/>
    </w:p>
    <w:p>
      <w:r>
        <w:t xml:space="preserve">A practical innovation opportunity is the transition from a rhythm concern to an interpretable recording, clinician review, and an appropriate documented next step. External patches, mobile cardiac telemetry, insertable monitors, and personal ECG devices solve different parts of this process. The remaining opportunity may lie in selection, adherence, workflow integration, symptom context, and follow-up ownership rather than in another generic rhythm detector. </w:t>
      </w:r>
      <w:r>
        <w:rPr>
          <w:sz w:val="19"/>
        </w:rPr>
        <w:t>[</w:t>
      </w:r>
      <w:hyperlink w:anchor="ref8">
        <w:r>
          <w:rPr>
            <w:color w:val="205F68"/>
            <w:sz w:val="19"/>
          </w:rPr>
          <w:t>8</w:t>
        </w:r>
      </w:hyperlink>
      <w:r>
        <w:rPr>
          <w:sz w:val="19"/>
        </w:rPr>
        <w:t xml:space="preserve">, </w:t>
      </w:r>
      <w:hyperlink w:anchor="ref58">
        <w:r>
          <w:rPr>
            <w:color w:val="205F68"/>
            <w:sz w:val="19"/>
          </w:rPr>
          <w:t>58</w:t>
        </w:r>
      </w:hyperlink>
      <w:r>
        <w:rPr>
          <w:sz w:val="19"/>
        </w:rPr>
        <w:t xml:space="preserve">, </w:t>
      </w:r>
      <w:hyperlink w:anchor="ref59">
        <w:r>
          <w:rPr>
            <w:color w:val="205F68"/>
            <w:sz w:val="19"/>
          </w:rPr>
          <w:t>59</w:t>
        </w:r>
      </w:hyperlink>
      <w:r>
        <w:rPr>
          <w:sz w:val="19"/>
        </w:rPr>
        <w:t xml:space="preserve">, </w:t>
      </w:r>
      <w:hyperlink w:anchor="ref60">
        <w:r>
          <w:rPr>
            <w:color w:val="205F68"/>
            <w:sz w:val="19"/>
          </w:rPr>
          <w:t>60</w:t>
        </w:r>
      </w:hyperlink>
      <w:r>
        <w:rPr>
          <w:sz w:val="19"/>
        </w:rPr>
        <w:t xml:space="preserve">, </w:t>
      </w:r>
      <w:hyperlink w:anchor="ref61">
        <w:r>
          <w:rPr>
            <w:color w:val="205F68"/>
            <w:sz w:val="19"/>
          </w:rPr>
          <w:t>61</w:t>
        </w:r>
      </w:hyperlink>
      <w:r>
        <w:rPr>
          <w:sz w:val="19"/>
        </w:rPr>
        <w:t xml:space="preserve">, </w:t>
      </w:r>
      <w:hyperlink w:anchor="ref72">
        <w:r>
          <w:rPr>
            <w:color w:val="205F68"/>
            <w:sz w:val="19"/>
          </w:rPr>
          <w:t>72</w:t>
        </w:r>
      </w:hyperlink>
      <w:r>
        <w:rPr>
          <w:sz w:val="19"/>
        </w:rPr>
        <w:t>]</w:t>
      </w:r>
      <w:r/>
    </w:p>
    <w:p>
      <w:r>
        <w:t xml:space="preserve">Autonomic inputs can influence atrial electrophysiology and AF susceptibility. However, the useful intervention depends on where, when, and how the pathway is modified. TREAT AF randomized 53 patients to active tragus stimulation or sham and found lower AF burden at six months with active treatment. This is an important proof of concept, not evidence that an arbitrary consumer vagus device prevents stroke or replaces established AF care. </w:t>
      </w:r>
      <w:r>
        <w:rPr>
          <w:sz w:val="19"/>
        </w:rPr>
        <w:t>[</w:t>
      </w:r>
      <w:hyperlink w:anchor="ref42">
        <w:r>
          <w:rPr>
            <w:color w:val="205F68"/>
            <w:sz w:val="19"/>
          </w:rPr>
          <w:t>42</w:t>
        </w:r>
      </w:hyperlink>
      <w:r>
        <w:rPr>
          <w:sz w:val="19"/>
        </w:rPr>
        <w:t>]</w:t>
      </w:r>
      <w:r/>
    </w:p>
    <w:p>
      <w:pPr>
        <w:pStyle w:val="Heading2"/>
      </w:pPr>
      <w:r>
        <w:t>Detection is not the same as treatment benefit</w:t>
      </w:r>
    </w:p>
    <w:p>
      <w:r>
        <w:t xml:space="preserve">ARTESiA studied device-detected subclinical AF lasting six minutes to 24 hours. Apixaban reduced stroke or systemic embolism relative to aspirin but increased major bleeding. The annualized efficacy event rates were 0.78% and 1.24%, respectively. Absolute benefits and harms, patient selection, and the endpoints analyzed matter more than a standalone relative-risk headline. </w:t>
      </w:r>
      <w:r>
        <w:rPr>
          <w:sz w:val="19"/>
        </w:rPr>
        <w:t>[</w:t>
      </w:r>
      <w:hyperlink w:anchor="ref9">
        <w:r>
          <w:rPr>
            <w:color w:val="205F68"/>
            <w:sz w:val="19"/>
          </w:rPr>
          <w:t>9</w:t>
        </w:r>
      </w:hyperlink>
      <w:r>
        <w:rPr>
          <w:sz w:val="19"/>
        </w:rPr>
        <w:t>]</w:t>
      </w:r>
      <w:r/>
    </w:p>
    <w:p>
      <w:r>
        <w:t xml:space="preserve">NOAH-AFNET 6 studied a related but nonidentical population with atrial high-rate episodes. Edoxaban did not significantly reduce its primary composite efficacy endpoint and increased the composite of death or major bleeding. The two trials should be compared with their populations, interventions, and endpoints visible, rather than displayed as interchangeable evidence for or against all anticoagulation. </w:t>
      </w:r>
      <w:r>
        <w:rPr>
          <w:sz w:val="19"/>
        </w:rPr>
        <w:t>[</w:t>
      </w:r>
      <w:hyperlink w:anchor="ref10">
        <w:r>
          <w:rPr>
            <w:color w:val="205F68"/>
            <w:sz w:val="19"/>
          </w:rPr>
          <w:t>10</w:t>
        </w:r>
      </w:hyperlink>
      <w:r>
        <w:rPr>
          <w:sz w:val="19"/>
        </w:rPr>
        <w:t>]</w:t>
      </w:r>
      <w:r/>
    </w:p>
    <w:p>
      <w:r>
        <w:t xml:space="preserve">ARCADIA found no significant reduction in recurrent stroke with apixaban versus aspirin in patients with cryptogenic stroke and atrial cardiopathy without AF. BRAIN-AF found no benefit of low-dose rivaroxaban on its primary composite in younger, low-stroke-risk AF patients without an established anticoagulation indication. These results limit broad narratives that any abnormal atrial marker should trigger anticoagulation or that anticoagulation universally prevents cognitive decline. </w:t>
      </w:r>
      <w:r>
        <w:rPr>
          <w:sz w:val="19"/>
        </w:rPr>
        <w:t>[</w:t>
      </w:r>
      <w:hyperlink w:anchor="ref11">
        <w:r>
          <w:rPr>
            <w:color w:val="205F68"/>
            <w:sz w:val="19"/>
          </w:rPr>
          <w:t>11</w:t>
        </w:r>
      </w:hyperlink>
      <w:r>
        <w:rPr>
          <w:sz w:val="19"/>
        </w:rPr>
        <w:t xml:space="preserve">, </w:t>
      </w:r>
      <w:hyperlink w:anchor="ref12">
        <w:r>
          <w:rPr>
            <w:color w:val="205F68"/>
            <w:sz w:val="19"/>
          </w:rPr>
          <w:t>12</w:t>
        </w:r>
      </w:hyperlink>
      <w:r>
        <w:rPr>
          <w:sz w:val="19"/>
        </w:rPr>
        <w:t>]</w:t>
      </w:r>
      <w:r/>
    </w:p>
    <w:p>
      <w:pPr>
        <w:pStyle w:val="Heading2"/>
      </w:pPr>
      <w:r>
        <w:t>Structural stroke prevention is another bridge</w:t>
      </w:r>
    </w:p>
    <w:p>
      <w:r>
        <w:t xml:space="preserve">CHAMPION-AF, published in March 2026, compared left atrial appendage closure with oral anticoagulation in suitable AF patients. The trial reported noninferiority for the composite of cardiovascular death, stroke, or systemic embolism, with superiority for non-procedural bleeding. Those endpoints should remain visible when discussing the result, alongside procedural risk and patient selection. Trial publication is separate from the exact current product label and coverage rules. </w:t>
      </w:r>
      <w:r>
        <w:rPr>
          <w:sz w:val="19"/>
        </w:rPr>
        <w:t>[</w:t>
      </w:r>
      <w:hyperlink w:anchor="ref13">
        <w:r>
          <w:rPr>
            <w:color w:val="205F68"/>
            <w:sz w:val="19"/>
          </w:rPr>
          <w:t>13</w:t>
        </w:r>
      </w:hyperlink>
      <w:r>
        <w:rPr>
          <w:sz w:val="19"/>
        </w:rPr>
        <w:t>]</w:t>
      </w:r>
      <w:r/>
    </w:p>
    <w:p>
      <w:r>
        <w:t>Neurocardia’s rhythm-to-stroke journey should therefore end with an evidence comparison and a care-process map, not a medication or procedure recommendation for an individual visitor. Its innovation question is how to improve the quality of decisions and completed care around these technologies.</w:t>
      </w:r>
    </w:p>
    <w:p>
      <w:bookmarkStart w:id="6" w:name="ch6"/>
      <w:pPr>
        <w:pStyle w:val="Heading1"/>
        <w:pageBreakBefore w:val="0"/>
      </w:pPr>
      <w:r>
        <w:t>06 / Stroke can also injure the heart</w:t>
      </w:r>
      <w:bookmarkEnd w:id="6"/>
    </w:p>
    <w:p>
      <w:pPr>
        <w:pStyle w:val="Heading2"/>
      </w:pPr>
      <w:r>
        <w:t>The neglected reverse direction</w:t>
      </w:r>
    </w:p>
    <w:p>
      <w:r>
        <w:t xml:space="preserve">The familiar story is that the heart can send a clot to the brain. Stroke–heart syndrome describes an additional direction: acute brain injury can be followed by myocardial injury, dysfunction, arrhythmia, and other cardiac complications. Autonomic disturbances, inflammatory mechanisms, and stress responses are implicated. An elevated troponin after stroke is not automatically proof of a coronary occlusion caused by a plaque event. Differential diagnosis remains essential. </w:t>
      </w:r>
      <w:r>
        <w:rPr>
          <w:sz w:val="19"/>
        </w:rPr>
        <w:t>[</w:t>
      </w:r>
      <w:hyperlink w:anchor="ref14">
        <w:r>
          <w:rPr>
            <w:color w:val="205F68"/>
            <w:sz w:val="19"/>
          </w:rPr>
          <w:t>14</w:t>
        </w:r>
      </w:hyperlink>
      <w:r>
        <w:rPr>
          <w:sz w:val="19"/>
        </w:rPr>
        <w:t>]</w:t>
      </w:r>
      <w:r/>
    </w:p>
    <w:p>
      <w:r>
        <w:t>The syndrome creates a cross-specialty problem. Stroke teams focus on neurological stabilization and recovery; cardiology teams may receive an abnormal biomarker or ECG without the full neurological context. A market opportunity exists around better structured communication, shared timelines, and agreed responsibility for follow-up. That is a proposed workflow opportunity, not evidence that a new dashboard alone improves outcomes.</w:t>
      </w:r>
    </w:p>
    <w:p>
      <w:pPr>
        <w:pStyle w:val="Heading2"/>
      </w:pPr>
      <w:r>
        <w:t>Three distinct jobs across the stroke journey</w:t>
      </w:r>
    </w:p>
    <w:p>
      <w:r/>
      <w:r>
        <w:rPr>
          <w:b/>
        </w:rPr>
        <w:t>Before or around stroke: establish the mechanism.</w:t>
      </w:r>
      <w:r>
        <w:t xml:space="preserve"> The diagnostic process may involve cardiac rhythm, structural heart disease, vascular disease, and other causes. The ACC pathway recommends at least 14 days of monitoring for selected patients after stroke of unclear source, with an implantable monitor considered in selected high-risk patients. Patient characteristics and the potential consequences of detecting AF determine the monitoring strategy. </w:t>
      </w:r>
      <w:r>
        <w:rPr>
          <w:sz w:val="19"/>
        </w:rPr>
        <w:t>[</w:t>
      </w:r>
      <w:hyperlink w:anchor="ref8">
        <w:r>
          <w:rPr>
            <w:color w:val="205F68"/>
            <w:sz w:val="19"/>
          </w:rPr>
          <w:t>8</w:t>
        </w:r>
      </w:hyperlink>
      <w:r>
        <w:rPr>
          <w:sz w:val="19"/>
        </w:rPr>
        <w:t>]</w:t>
      </w:r>
      <w:r/>
    </w:p>
    <w:p>
      <w:r/>
      <w:r>
        <w:rPr>
          <w:b/>
        </w:rPr>
        <w:t>During acute care: interpret the interaction.</w:t>
      </w:r>
      <w:r>
        <w:t xml:space="preserve"> Link neurological events, medications, ECG findings, troponin trends, and cardiac function on a common timeline. The Site can teach why temporal relationships are clinically informative while remaining insufficient to prove the mechanism in an individual case. </w:t>
      </w:r>
      <w:r>
        <w:rPr>
          <w:sz w:val="19"/>
        </w:rPr>
        <w:t>[</w:t>
      </w:r>
      <w:hyperlink w:anchor="ref14">
        <w:r>
          <w:rPr>
            <w:color w:val="205F68"/>
            <w:sz w:val="19"/>
          </w:rPr>
          <w:t>14</w:t>
        </w:r>
      </w:hyperlink>
      <w:r>
        <w:rPr>
          <w:sz w:val="19"/>
        </w:rPr>
        <w:t>]</w:t>
      </w:r>
      <w:r/>
    </w:p>
    <w:p>
      <w:r/>
      <w:r>
        <w:rPr>
          <w:b/>
        </w:rPr>
        <w:t>During recovery: connect prevention and rehabilitation.</w:t>
      </w:r>
      <w:r>
        <w:t xml:space="preserve"> Cardiac prevention and neurological recovery have different endpoints and providers. Paired vagus stimulation during rehabilitation has an FDA-approved role in selected chronic ischemic stroke patients with moderate to severe arm impairment. It is not an acute stroke rescue treatment or an approval to prevent another stroke. </w:t>
      </w:r>
      <w:r>
        <w:rPr>
          <w:sz w:val="19"/>
        </w:rPr>
        <w:t>[</w:t>
      </w:r>
      <w:hyperlink w:anchor="ref44">
        <w:r>
          <w:rPr>
            <w:color w:val="205F68"/>
            <w:sz w:val="19"/>
          </w:rPr>
          <w:t>44</w:t>
        </w:r>
      </w:hyperlink>
      <w:r>
        <w:rPr>
          <w:sz w:val="19"/>
        </w:rPr>
        <w:t xml:space="preserve">, </w:t>
      </w:r>
      <w:hyperlink w:anchor="ref45">
        <w:r>
          <w:rPr>
            <w:color w:val="205F68"/>
            <w:sz w:val="19"/>
          </w:rPr>
          <w:t>45</w:t>
        </w:r>
      </w:hyperlink>
      <w:r>
        <w:rPr>
          <w:sz w:val="19"/>
        </w:rPr>
        <w:t>]</w:t>
      </w:r>
      <w:r/>
    </w:p>
    <w:p>
      <w:pPr>
        <w:pStyle w:val="Heading2"/>
      </w:pPr>
      <w:r>
        <w:t>Product opportunity and proof needed</w:t>
      </w:r>
    </w:p>
    <w:p>
      <w:r>
        <w:t>A proposed Neurocardia stroke pathway could track order placement, monitor activation, usable recording, result review, documented action, and follow-up completion. A provider pilot should compare these process measures with current practice, while measuring staff burden and inappropriate escalations. Stroke recurrence and functional outcomes would require appropriately designed and powered longer-term evaluation.</w:t>
      </w:r>
    </w:p>
    <w:p>
      <w:r>
        <w:t>The Site should make the full sequence tangible through an anonymized synthetic case. Visitors could switch between heart-to-brain embolism, brain-to-heart injury, and rehabilitation. Each branch would preserve its own evidence, products, and outcome measures, demonstrating why “stroke” is not one homogeneous market.</w:t>
      </w:r>
    </w:p>
    <w:p>
      <w:bookmarkStart w:id="7" w:name="ch7"/>
      <w:pPr>
        <w:pStyle w:val="Heading1"/>
        <w:pageBreakBefore w:val="0"/>
      </w:pPr>
      <w:r>
        <w:t>07 / Stress, emotion, and cardiac function</w:t>
      </w:r>
      <w:bookmarkEnd w:id="7"/>
    </w:p>
    <w:p>
      <w:pPr>
        <w:pStyle w:val="Heading2"/>
      </w:pPr>
      <w:r>
        <w:t>A feedback system rather than a stress score</w:t>
      </w:r>
    </w:p>
    <w:p>
      <w:r>
        <w:t xml:space="preserve">Mental stress can influence heart rate, blood pressure, vascular tone, and myocardial oxygen demand. In prospective cohorts of people with coronary heart disease, mental-stress-induced ischemia was associated with subsequent cardiovascular events. This association is clinically meaningful, but it does not show that a wearable-derived stress score diagnoses ischemia or that lowering the score reduces events. </w:t>
      </w:r>
      <w:r>
        <w:rPr>
          <w:sz w:val="19"/>
        </w:rPr>
        <w:t>[</w:t>
      </w:r>
      <w:hyperlink w:anchor="ref15">
        <w:r>
          <w:rPr>
            <w:color w:val="205F68"/>
            <w:sz w:val="19"/>
          </w:rPr>
          <w:t>15</w:t>
        </w:r>
      </w:hyperlink>
      <w:r>
        <w:rPr>
          <w:sz w:val="19"/>
        </w:rPr>
        <w:t>]</w:t>
      </w:r>
      <w:r/>
    </w:p>
    <w:p>
      <w:r>
        <w:t xml:space="preserve">The reverse direction is scientifically provocative. In a mouse experiment, optogenetically increasing heart rate enhanced anxiety-like behavior in risky contexts, with the posterior insular cortex implicated. The finding supports investigation of cardiac contributions to emotional state. It does not demonstrate that elevated heart rate alone causes anxiety in humans or provide a clinical protocol for controlling it. </w:t>
      </w:r>
      <w:r>
        <w:rPr>
          <w:sz w:val="19"/>
        </w:rPr>
        <w:t>[</w:t>
      </w:r>
      <w:hyperlink w:anchor="ref17">
        <w:r>
          <w:rPr>
            <w:color w:val="205F68"/>
            <w:sz w:val="19"/>
          </w:rPr>
          <w:t>17</w:t>
        </w:r>
      </w:hyperlink>
      <w:r>
        <w:rPr>
          <w:sz w:val="19"/>
        </w:rPr>
        <w:t>]</w:t>
      </w:r>
      <w:r/>
    </w:p>
    <w:p>
      <w:r>
        <w:t xml:space="preserve">Takotsubo syndrome makes the connection visible at the bedside. In the 1,750-patient International Takotsubo Registry, physical triggers were more common than emotional triggers, and some patients had no evident trigger. The syndrome can have serious complications. A public experience should therefore avoid reducing it to a harmless “broken heart” phenomenon or implying that stress-related symptoms can safely be dismissed. </w:t>
      </w:r>
      <w:r>
        <w:rPr>
          <w:sz w:val="19"/>
        </w:rPr>
        <w:t>[</w:t>
      </w:r>
      <w:hyperlink w:anchor="ref16">
        <w:r>
          <w:rPr>
            <w:color w:val="205F68"/>
            <w:sz w:val="19"/>
          </w:rPr>
          <w:t>16</w:t>
        </w:r>
      </w:hyperlink>
      <w:r>
        <w:rPr>
          <w:sz w:val="19"/>
        </w:rPr>
        <w:t>]</w:t>
      </w:r>
      <w:r/>
    </w:p>
    <w:p>
      <w:pPr>
        <w:pStyle w:val="Heading2"/>
      </w:pPr>
      <w:r>
        <w:t>What a valuable product would add</w:t>
      </w:r>
    </w:p>
    <w:p>
      <w:r>
        <w:t>The opportunity is contextual interpretation and recovery tracking. A time series can combine the activity preceding an episode, posture, breathing, symptoms, medication timing, sleep, and signal quality. For a research application, the question is whether this context separates clinically useful patterns better than heart rate or a self-report alone.</w:t>
      </w:r>
    </w:p>
    <w:p>
      <w:r>
        <w:t xml:space="preserve">HRV can help characterize cardiac timing under defined measurement conditions. It is not a direct meter of total nervous-system health, and the same metric can change with breathing, position, recording length, medication, age, arrhythmia, and technical quality. Different devices and algorithms can produce values that should not be treated as interchangeable. </w:t>
      </w:r>
      <w:r>
        <w:rPr>
          <w:sz w:val="19"/>
        </w:rPr>
        <w:t>[</w:t>
      </w:r>
      <w:hyperlink w:anchor="ref40">
        <w:r>
          <w:rPr>
            <w:color w:val="205F68"/>
            <w:sz w:val="19"/>
          </w:rPr>
          <w:t>40</w:t>
        </w:r>
      </w:hyperlink>
      <w:r>
        <w:rPr>
          <w:sz w:val="19"/>
        </w:rPr>
        <w:t xml:space="preserve">, </w:t>
      </w:r>
      <w:hyperlink w:anchor="ref41">
        <w:r>
          <w:rPr>
            <w:color w:val="205F68"/>
            <w:sz w:val="19"/>
          </w:rPr>
          <w:t>41</w:t>
        </w:r>
      </w:hyperlink>
      <w:r>
        <w:rPr>
          <w:sz w:val="19"/>
        </w:rPr>
        <w:t>]</w:t>
      </w:r>
      <w:r/>
    </w:p>
    <w:p>
      <w:pPr>
        <w:pStyle w:val="Heading2"/>
      </w:pPr>
      <w:r>
        <w:t>Proposed Site experience</w:t>
      </w:r>
    </w:p>
    <w:p>
      <w:r>
        <w:t>Create a Stress and Recovery Lab with a clearly labeled synthetic timeline. The user can select a stressful event, exercise, poor sleep, or a posture change and see which signals might change and which questions remain unanswered. A second view compares identical heart-rate values under different contexts. This teaches why context matters without manufacturing a personalized risk estimate.</w:t>
      </w:r>
    </w:p>
    <w:p>
      <w:r>
        <w:t>An optional guided breathing animation should be framed as an educational experience. It should not show an invented live improvement in vagal function, promise arrhythmia control, or suggest that a calmer visualization demonstrates physiological change. The more defensible engagement reward is understanding a distinction the visitor did not know before.</w:t>
      </w:r>
    </w:p>
    <w:p>
      <w:bookmarkStart w:id="8" w:name="ch8"/>
      <w:pPr>
        <w:pStyle w:val="Heading1"/>
        <w:pageBreakBefore w:val="0"/>
      </w:pPr>
      <w:r>
        <w:t>08 / Blood pressure and vascular brain health</w:t>
      </w:r>
      <w:bookmarkEnd w:id="8"/>
    </w:p>
    <w:p>
      <w:pPr>
        <w:pStyle w:val="Heading2"/>
      </w:pPr>
      <w:r>
        <w:t>One of the strongest bridges for meaningful prevention</w:t>
      </w:r>
    </w:p>
    <w:p>
      <w:r>
        <w:t xml:space="preserve">Blood pressure connects cardiovascular management to stroke and longer-term brain health. The 2025 U.S. blood-pressure guideline explicitly includes dementia among the important conditions associated with hypertension and emphasizes team-based care. For Neurocardia, this is a strong evidence foundation for a shared heart-and-brain prevention narrative. </w:t>
      </w:r>
      <w:r>
        <w:rPr>
          <w:sz w:val="19"/>
        </w:rPr>
        <w:t>[</w:t>
      </w:r>
      <w:hyperlink w:anchor="ref21">
        <w:r>
          <w:rPr>
            <w:color w:val="205F68"/>
            <w:sz w:val="19"/>
          </w:rPr>
          <w:t>21</w:t>
        </w:r>
      </w:hyperlink>
      <w:r>
        <w:rPr>
          <w:sz w:val="19"/>
        </w:rPr>
        <w:t>]</w:t>
      </w:r>
      <w:r/>
    </w:p>
    <w:p>
      <w:r>
        <w:t xml:space="preserve">SPRINT MIND found a reduction in mild cognitive impairment with intensive blood-pressure treatment, while the probable-dementia endpoint was not statistically conclusive. Its population and exclusions matter when considering generalization. It should not be summarized as proof that every person should pursue the same pressure target. </w:t>
      </w:r>
      <w:r>
        <w:rPr>
          <w:sz w:val="19"/>
        </w:rPr>
        <w:t>[</w:t>
      </w:r>
      <w:hyperlink w:anchor="ref18">
        <w:r>
          <w:rPr>
            <w:color w:val="205F68"/>
            <w:sz w:val="19"/>
          </w:rPr>
          <w:t>18</w:t>
        </w:r>
      </w:hyperlink>
      <w:r>
        <w:rPr>
          <w:sz w:val="19"/>
        </w:rPr>
        <w:t>]</w:t>
      </w:r>
      <w:r/>
    </w:p>
    <w:p>
      <w:r>
        <w:t xml:space="preserve">A 2025 cluster-randomized trial in rural China involved 33,995 adults with uncontrolled hypertension across 326 villages. A community-provider-led intervention reduced all-cause dementia over 48 months relative to usual care: risk ratio 0.85, 95% confidence interval 0.76–0.95. The intervention involved supervised medication management and broader care support. This provides meaningful evidence for a blood-pressure care pathway, not proof of a particular app, wearable, or neural device. </w:t>
      </w:r>
      <w:r>
        <w:rPr>
          <w:sz w:val="19"/>
        </w:rPr>
        <w:t>[</w:t>
      </w:r>
      <w:hyperlink w:anchor="ref19">
        <w:r>
          <w:rPr>
            <w:color w:val="205F68"/>
            <w:sz w:val="19"/>
          </w:rPr>
          <w:t>19</w:t>
        </w:r>
      </w:hyperlink>
      <w:r>
        <w:rPr>
          <w:sz w:val="19"/>
        </w:rPr>
        <w:t>]</w:t>
      </w:r>
      <w:r/>
    </w:p>
    <w:p>
      <w:pPr>
        <w:pStyle w:val="Heading2"/>
      </w:pPr>
      <w:r>
        <w:t>Neural intervention becomes a commercial category</w:t>
      </w:r>
    </w:p>
    <w:p>
      <w:r>
        <w:t xml:space="preserve">Renal denervation acts on renal sympathetic nerves and provides a direct bridge between the nervous system and cardiovascular treatment. FDA approval of the Paradise system concerns adjunctive blood-pressure reduction in patients inadequately controlled with lifestyle changes and medication. The clinical claim is not a general approval for dementia prevention. </w:t>
      </w:r>
      <w:r>
        <w:rPr>
          <w:sz w:val="19"/>
        </w:rPr>
        <w:t>[</w:t>
      </w:r>
      <w:hyperlink w:anchor="ref24">
        <w:r>
          <w:rPr>
            <w:color w:val="205F68"/>
            <w:sz w:val="19"/>
          </w:rPr>
          <w:t>24</w:t>
        </w:r>
      </w:hyperlink>
      <w:r>
        <w:rPr>
          <w:sz w:val="19"/>
        </w:rPr>
        <w:t>]</w:t>
      </w:r>
      <w:r/>
    </w:p>
    <w:p>
      <w:r>
        <w:t xml:space="preserve">CMS’s national coverage determination became effective in October 2025, with implementation in April 2026. Coverage requires specified patient, clinician, facility, and Coverage with Evidence Development study conditions; it is not unrestricted reimbursement for all patients with hypertension. The criteria make longitudinal management, appropriate measurement, and program organization commercially consequential. </w:t>
      </w:r>
      <w:r>
        <w:rPr>
          <w:sz w:val="19"/>
        </w:rPr>
        <w:t>[</w:t>
      </w:r>
      <w:hyperlink w:anchor="ref25">
        <w:r>
          <w:rPr>
            <w:color w:val="205F68"/>
            <w:sz w:val="19"/>
          </w:rPr>
          <w:t>25</w:t>
        </w:r>
      </w:hyperlink>
      <w:r>
        <w:rPr>
          <w:sz w:val="19"/>
        </w:rPr>
        <w:t>]</w:t>
      </w:r>
      <w:r/>
    </w:p>
    <w:p>
      <w:pPr>
        <w:pStyle w:val="Heading2"/>
      </w:pPr>
      <w:r>
        <w:t>Where Neurocardia can contribute</w:t>
      </w:r>
    </w:p>
    <w:p>
      <w:r>
        <w:t>A Blood Pressure and Brain Health pathway could explain vascular injury, autonomic regulation, and the difference between detection and management. An innovation module could map validated measurement, confirmation, adherence support, secondary-cause evaluation, referral, and long-term outcomes. A research partnership could examine which contextual signals improve management or reduce treatment-related symptoms.</w:t>
      </w:r>
    </w:p>
    <w:p>
      <w:r>
        <w:t>The Site should explicitly show that the relationship is not “lower is always better.” Perfusion, orthostatic symptoms, frailty, medication burden, and the clinical setting can change the relevant question. A general educational page can explain those tradeoffs without selecting an individual target. Neurocardia’s opportunity is to help people reason about the whole system while preserving clinically appropriate decision-making.</w:t>
      </w:r>
    </w:p>
    <w:p>
      <w:bookmarkStart w:id="9" w:name="ch9"/>
      <w:pPr>
        <w:pStyle w:val="Heading1"/>
        <w:pageBreakBefore w:val="0"/>
      </w:pPr>
      <w:r>
        <w:t>09 / Heart failure and autonomic therapy</w:t>
      </w:r>
      <w:bookmarkEnd w:id="9"/>
    </w:p>
    <w:p>
      <w:pPr>
        <w:pStyle w:val="Heading2"/>
      </w:pPr>
      <w:r>
        <w:t>A strong mechanism with difficult endpoint translation</w:t>
      </w:r>
    </w:p>
    <w:p>
      <w:r>
        <w:t xml:space="preserve">Heart failure involves neural and hormonal adaptations that can become maladaptive. It can also compromise cerebral function through perfusion and vascular mechanisms, while cognitive difficulties can complicate medication use and self-management. This creates a real need for coordinated cardiac, cognitive, and caregiver support. </w:t>
      </w:r>
      <w:r>
        <w:rPr>
          <w:sz w:val="19"/>
        </w:rPr>
        <w:t>[</w:t>
      </w:r>
      <w:hyperlink w:anchor="ref20">
        <w:r>
          <w:rPr>
            <w:color w:val="205F68"/>
            <w:sz w:val="19"/>
          </w:rPr>
          <w:t>20</w:t>
        </w:r>
      </w:hyperlink>
      <w:r>
        <w:rPr>
          <w:sz w:val="19"/>
        </w:rPr>
        <w:t xml:space="preserve">, </w:t>
      </w:r>
      <w:hyperlink w:anchor="ref71">
        <w:r>
          <w:rPr>
            <w:color w:val="205F68"/>
            <w:sz w:val="19"/>
          </w:rPr>
          <w:t>71</w:t>
        </w:r>
      </w:hyperlink>
      <w:r>
        <w:rPr>
          <w:sz w:val="19"/>
        </w:rPr>
        <w:t>]</w:t>
      </w:r>
      <w:r/>
    </w:p>
    <w:p>
      <w:r>
        <w:t xml:space="preserve">The population is substantial: CDC cites nearly 6.7 million U.S. adults aged 20 or older with heart failure, based on the 2024 AHA statistical update. That figure includes heterogeneous patients and cannot be used as the eligible market for an implantable autonomic therapy. </w:t>
      </w:r>
      <w:r>
        <w:rPr>
          <w:sz w:val="19"/>
        </w:rPr>
        <w:t>[</w:t>
      </w:r>
      <w:hyperlink w:anchor="ref5">
        <w:r>
          <w:rPr>
            <w:color w:val="205F68"/>
            <w:sz w:val="19"/>
          </w:rPr>
          <w:t>5</w:t>
        </w:r>
      </w:hyperlink>
      <w:r>
        <w:rPr>
          <w:sz w:val="19"/>
        </w:rPr>
        <w:t>]</w:t>
      </w:r>
      <w:r/>
    </w:p>
    <w:p>
      <w:r>
        <w:t xml:space="preserve">Baroreflex activation therapy offers a commercial neurocardiac example. BeAT-HF’s long-term report found sustained improvements in functional status, exercise capacity, and quality of life, but its primary cardiovascular mortality and heart-failure morbidity endpoint was neutral. Clinical value should be described using the outcomes demonstrated. </w:t>
      </w:r>
      <w:r>
        <w:rPr>
          <w:sz w:val="19"/>
        </w:rPr>
        <w:t>[</w:t>
      </w:r>
      <w:hyperlink w:anchor="ref22">
        <w:r>
          <w:rPr>
            <w:color w:val="205F68"/>
            <w:sz w:val="19"/>
          </w:rPr>
          <w:t>22</w:t>
        </w:r>
      </w:hyperlink>
      <w:r>
        <w:rPr>
          <w:sz w:val="19"/>
        </w:rPr>
        <w:t>]</w:t>
      </w:r>
      <w:r/>
    </w:p>
    <w:p>
      <w:r>
        <w:t xml:space="preserve">INOVATE-HF, which randomized 707 patients, did not establish reduction of its primary death or worsening-heart-failure endpoint with vagus stimulation. This is a useful reminder that an autonomic mechanism does not guarantee a successful intervention; stimulation parameters, neural targets, patient phenotype, and background therapy may matter. </w:t>
      </w:r>
      <w:r>
        <w:rPr>
          <w:sz w:val="19"/>
        </w:rPr>
        <w:t>[</w:t>
      </w:r>
      <w:hyperlink w:anchor="ref23">
        <w:r>
          <w:rPr>
            <w:color w:val="205F68"/>
            <w:sz w:val="19"/>
          </w:rPr>
          <w:t>23</w:t>
        </w:r>
      </w:hyperlink>
      <w:r>
        <w:rPr>
          <w:sz w:val="19"/>
        </w:rPr>
        <w:t>]</w:t>
      </w:r>
      <w:r/>
    </w:p>
    <w:p>
      <w:pPr>
        <w:pStyle w:val="Heading2"/>
      </w:pPr>
      <w:r>
        <w:t>Commercial evidence and remaining friction</w:t>
      </w:r>
    </w:p>
    <w:p>
      <w:r>
        <w:t xml:space="preserve">CVRx reported second-quarter 2026 revenue of $15.7 million and 258 active U.S. implanting centers. The same announcement described payer and sales-productivity challenges and reduced full-year guidance. This is evidence of an operating commercial category with adoption constraints, rather than an effortless adoption curve. </w:t>
      </w:r>
      <w:r>
        <w:rPr>
          <w:sz w:val="19"/>
        </w:rPr>
        <w:t>[</w:t>
      </w:r>
      <w:hyperlink w:anchor="ref26">
        <w:r>
          <w:rPr>
            <w:color w:val="205F68"/>
            <w:sz w:val="19"/>
          </w:rPr>
          <w:t>26</w:t>
        </w:r>
      </w:hyperlink>
      <w:r>
        <w:rPr>
          <w:sz w:val="19"/>
        </w:rPr>
        <w:t>]</w:t>
      </w:r>
      <w:r/>
    </w:p>
    <w:p>
      <w:r>
        <w:t xml:space="preserve">The company’s BENEFIT-HF program is designed to test mortality and heart-failure decompensation in an expanded population, with first-site activation in March 2026 and first-patient enrollment reported in the second quarter. Future outcome results must remain separate from the existing symptomatic indication. </w:t>
      </w:r>
      <w:r>
        <w:rPr>
          <w:sz w:val="19"/>
        </w:rPr>
        <w:t>[</w:t>
      </w:r>
      <w:hyperlink w:anchor="ref27">
        <w:r>
          <w:rPr>
            <w:color w:val="205F68"/>
            <w:sz w:val="19"/>
          </w:rPr>
          <w:t>27</w:t>
        </w:r>
      </w:hyperlink>
      <w:r>
        <w:rPr>
          <w:sz w:val="19"/>
        </w:rPr>
        <w:t>]</w:t>
      </w:r>
      <w:r/>
    </w:p>
    <w:p>
      <w:pPr>
        <w:pStyle w:val="Heading2"/>
      </w:pPr>
      <w:r>
        <w:t>The opportunity beyond the implant</w:t>
      </w:r>
    </w:p>
    <w:p>
      <w:r>
        <w:t>Neurocardia could make the treatment landscape understandable by comparing the neural target, eligible phenotype, approved use, patient-centered outcomes, and unresolved hard outcomes. A research studio could explore responder phenotyping and multimodal recovery measures while explicitly testing incremental value over standard clinical variables.</w:t>
      </w:r>
    </w:p>
    <w:p>
      <w:r>
        <w:t>For health systems, practical needs may include referral identification, eligibility documentation, follow-up capacity, and evaluation of cognitive or caregiver barriers. These are proposed needs to validate in interviews. The strongest business case will identify a specific buyer and operational problem rather than assume that a large disease population will adopt another dashboard.</w:t>
      </w:r>
    </w:p>
    <w:p>
      <w:bookmarkStart w:id="10" w:name="ch10"/>
      <w:pPr>
        <w:pStyle w:val="Heading1"/>
        <w:pageBreakBefore w:val="0"/>
      </w:pPr>
      <w:r>
        <w:t>10 / Sleep and circadian connections</w:t>
      </w:r>
      <w:bookmarkEnd w:id="10"/>
    </w:p>
    <w:p>
      <w:r>
        <w:t>Sleep remains an important part of Neurocardia, but it should sit within a broader neurocardiac system. Breathing, cortical activity, autonomic modulation, blood pressure, rhythm, and arousal change together across the night. This makes sleep useful for observing physiological coordination and disruption; it does not make every nocturnal signal a validated disease predictor.</w:t>
      </w:r>
    </w:p>
    <w:p>
      <w:r>
        <w:t xml:space="preserve">Obstructive sleep apnea introduces recurrent hypoxemia, arousals, intrathoracic pressure changes, and sympathetic activation. Its associations with hypertension and cardiovascular disease support investigation and appropriate clinical evaluation. An apnea count alone does not describe all potentially important physiology. An NHLBI workshop highlighted the need to study traits such as hypoxic burden and other physiological characteristics beyond the apnea–hypopnea index. </w:t>
      </w:r>
      <w:r>
        <w:rPr>
          <w:sz w:val="19"/>
        </w:rPr>
        <w:t>[</w:t>
      </w:r>
      <w:hyperlink w:anchor="ref29">
        <w:r>
          <w:rPr>
            <w:color w:val="205F68"/>
            <w:sz w:val="19"/>
          </w:rPr>
          <w:t>29</w:t>
        </w:r>
      </w:hyperlink>
      <w:r>
        <w:rPr>
          <w:sz w:val="19"/>
        </w:rPr>
        <w:t xml:space="preserve">, </w:t>
      </w:r>
      <w:hyperlink w:anchor="ref70">
        <w:r>
          <w:rPr>
            <w:color w:val="205F68"/>
            <w:sz w:val="19"/>
          </w:rPr>
          <w:t>70</w:t>
        </w:r>
      </w:hyperlink>
      <w:r>
        <w:rPr>
          <w:sz w:val="19"/>
        </w:rPr>
        <w:t>]</w:t>
      </w:r>
      <w:r/>
    </w:p>
    <w:p>
      <w:pPr>
        <w:pStyle w:val="Heading2"/>
      </w:pPr>
      <w:r>
        <w:t>Distinguish blood-pressure effects from cardiovascular-event effects</w:t>
      </w:r>
    </w:p>
    <w:p>
      <w:r>
        <w:t xml:space="preserve">In HeartBEAT, CPAP reduced blood pressure relative to the comparator groups over the study period. SAVE did not demonstrate prevention of major cardiovascular events with CPAP in its intention-to-treat analysis in the population studied. These results concern different endpoints, patient selection, and treatment exposure. Neurocardia should display both findings without converting an intermediate improvement into a proven event benefit. </w:t>
      </w:r>
      <w:r>
        <w:rPr>
          <w:sz w:val="19"/>
        </w:rPr>
        <w:t>[</w:t>
      </w:r>
      <w:hyperlink w:anchor="ref28">
        <w:r>
          <w:rPr>
            <w:color w:val="205F68"/>
            <w:sz w:val="19"/>
          </w:rPr>
          <w:t>28</w:t>
        </w:r>
      </w:hyperlink>
      <w:r>
        <w:rPr>
          <w:sz w:val="19"/>
        </w:rPr>
        <w:t xml:space="preserve">, </w:t>
      </w:r>
      <w:hyperlink w:anchor="ref69">
        <w:r>
          <w:rPr>
            <w:color w:val="205F68"/>
            <w:sz w:val="19"/>
          </w:rPr>
          <w:t>69</w:t>
        </w:r>
      </w:hyperlink>
      <w:r>
        <w:rPr>
          <w:sz w:val="19"/>
        </w:rPr>
        <w:t>]</w:t>
      </w:r>
      <w:r/>
    </w:p>
    <w:p>
      <w:r>
        <w:t xml:space="preserve">The 2024 Nature study of myocardial infarction and sleep provides a more unusual reverse-direction connection: cardiac injury influenced brain immune signaling and sleep, with mechanistic experiments suggesting a role for sleep in recovery. This is a research lead, not evidence that a consumer sleep intervention prevents recurrent infarction. </w:t>
      </w:r>
      <w:r>
        <w:rPr>
          <w:sz w:val="19"/>
        </w:rPr>
        <w:t>[</w:t>
      </w:r>
      <w:hyperlink w:anchor="ref30">
        <w:r>
          <w:rPr>
            <w:color w:val="205F68"/>
            <w:sz w:val="19"/>
          </w:rPr>
          <w:t>30</w:t>
        </w:r>
      </w:hyperlink>
      <w:r>
        <w:rPr>
          <w:sz w:val="19"/>
        </w:rPr>
        <w:t>]</w:t>
      </w:r>
      <w:r/>
    </w:p>
    <w:p>
      <w:pPr>
        <w:pStyle w:val="Heading2"/>
      </w:pPr>
      <w:r>
        <w:t>Innovation hypothesis</w:t>
      </w:r>
    </w:p>
    <w:p>
      <w:r>
        <w:t>A multimodal research dataset could align sleep stage or EEG features with respiration, ECG, oxygen saturation, posture, medication timing, and ambulatory blood pressure. The first question should be whether these inputs improve measurement or explain a defined clinical phenotype, such as nocturnal hypertension or arrhythmia clustering. Prospective event prediction is a later and substantially harder claim.</w:t>
      </w:r>
    </w:p>
    <w:p>
      <w:r>
        <w:t>The original Neurocardia and Keycard work offers useful discipline here: preserve session provenance, study cross-night reliability, and test whether an EEG contribution survives comparison with simpler inputs. Do not make EEG a compulsory ingredient merely because it differentiates the story. If respiration, rhythm, and blood pressure answer the question more reliably and cheaply, that is an informative result.</w:t>
      </w:r>
    </w:p>
    <w:p>
      <w:r/>
      <w:r>
        <w:rPr>
          <w:b/>
        </w:rPr>
        <w:t>Site module — One night, many systems.</w:t>
      </w:r>
      <w:r>
        <w:t xml:space="preserve"> A clearly labeled synthetic timeline lets visitors switch between sleep stage, respiratory disturbance, heart rate, rhythm annotations, and blood-pressure observations. An explanation panel distinguishes simultaneity, plausible mechanism, observed association, and causal evidence. The timeline must never suggest that an illustrative waveform is a real patient record or a validated prediction.</w:t>
      </w:r>
    </w:p>
    <w:p>
      <w:bookmarkStart w:id="11" w:name="ch11"/>
      <w:pPr>
        <w:pStyle w:val="Heading1"/>
        <w:pageBreakBefore w:val="0"/>
      </w:pPr>
      <w:r>
        <w:t>11 / Dysautonomia, syncope, and nerve injury</w:t>
      </w:r>
      <w:bookmarkEnd w:id="11"/>
    </w:p>
    <w:p>
      <w:pPr>
        <w:pStyle w:val="Heading2"/>
      </w:pPr>
      <w:r>
        <w:t>Orthostatic intolerance and POTS</w:t>
      </w:r>
    </w:p>
    <w:p>
      <w:r>
        <w:t xml:space="preserve">Standing challenges the circulation and requires coordinated vascular, cardiac, and neural responses. Postural orthostatic tachycardia syndrome is heterogeneous; an elevated standing heart rate is only part of its clinical assessment. POTS should not be equated with anxiety, generalized poor fitness, or any isolated wearable heart-rate spike. An NIH expert consensus describes substantial symptom burden and unresolved mechanisms. </w:t>
      </w:r>
      <w:r>
        <w:rPr>
          <w:sz w:val="19"/>
        </w:rPr>
        <w:t>[</w:t>
      </w:r>
      <w:hyperlink w:anchor="ref31">
        <w:r>
          <w:rPr>
            <w:color w:val="205F68"/>
            <w:sz w:val="19"/>
          </w:rPr>
          <w:t>31</w:t>
        </w:r>
      </w:hyperlink>
      <w:r>
        <w:rPr>
          <w:sz w:val="19"/>
        </w:rPr>
        <w:t>]</w:t>
      </w:r>
      <w:r/>
    </w:p>
    <w:p>
      <w:r>
        <w:t xml:space="preserve">A small randomized study of transcutaneous vagus stimulation in POTS offers an investigational signal, not a broadly established treatment pathway. Replication, phenotype selection, tolerability, durability, and practical delivery remain important questions. </w:t>
      </w:r>
      <w:r>
        <w:rPr>
          <w:sz w:val="19"/>
        </w:rPr>
        <w:t>[</w:t>
      </w:r>
      <w:hyperlink w:anchor="ref32">
        <w:r>
          <w:rPr>
            <w:color w:val="205F68"/>
            <w:sz w:val="19"/>
          </w:rPr>
          <w:t>32</w:t>
        </w:r>
      </w:hyperlink>
      <w:r>
        <w:rPr>
          <w:sz w:val="19"/>
        </w:rPr>
        <w:t>]</w:t>
      </w:r>
      <w:r/>
    </w:p>
    <w:p>
      <w:r/>
      <w:r>
        <w:rPr>
          <w:b/>
        </w:rPr>
        <w:t>Proposed opportunity:</w:t>
      </w:r>
      <w:r>
        <w:t xml:space="preserve"> help research teams integrate posture, symptoms, activity, medication, blood pressure, and rhythm into a common timeline. The initial product claim would be improved observation and study operations. Diagnosis, treatment selection, and automated medication advice would require separate validation and clinical governance.</w:t>
      </w:r>
    </w:p>
    <w:p>
      <w:pPr>
        <w:pStyle w:val="Heading2"/>
      </w:pPr>
      <w:r>
        <w:t>Syncope is not one mechanism</w:t>
      </w:r>
    </w:p>
    <w:p>
      <w:r>
        <w:t xml:space="preserve">Syncope can involve reflex, orthostatic, or cardiac processes. Neurocardia should show these as different branches with different assessments, rather than treating all fainting as a vagal disorder. Mouse research identifying NPY2R-expressing vagal sensory neurons implicated in fainting illustrates the specificity now possible in circuit research. A 2026 Nature study of blood-volume sensing offers another mechanistic window into circulatory defense during posture changes and hemorrhage. Human therapeutic implications remain unproven. </w:t>
      </w:r>
      <w:r>
        <w:rPr>
          <w:sz w:val="19"/>
        </w:rPr>
        <w:t>[</w:t>
      </w:r>
      <w:hyperlink w:anchor="ref33">
        <w:r>
          <w:rPr>
            <w:color w:val="205F68"/>
            <w:sz w:val="19"/>
          </w:rPr>
          <w:t>33</w:t>
        </w:r>
      </w:hyperlink>
      <w:r>
        <w:rPr>
          <w:sz w:val="19"/>
        </w:rPr>
        <w:t xml:space="preserve">, </w:t>
      </w:r>
      <w:hyperlink w:anchor="ref34">
        <w:r>
          <w:rPr>
            <w:color w:val="205F68"/>
            <w:sz w:val="19"/>
          </w:rPr>
          <w:t>34</w:t>
        </w:r>
      </w:hyperlink>
      <w:r>
        <w:rPr>
          <w:sz w:val="19"/>
        </w:rPr>
        <w:t>]</w:t>
      </w:r>
      <w:r/>
    </w:p>
    <w:p>
      <w:r>
        <w:t xml:space="preserve">Cardioneuroablation is an emerging procedural approach for selected reflex syncope and functional bradyarrhythmias. A joint electrophysiology scientific statement addresses indications, selection, technique, and evidence limitations. The Site should show it as a specialized intervention with unresolved questions, not as a generic solution to low heart rate or fainting. </w:t>
      </w:r>
      <w:r>
        <w:rPr>
          <w:sz w:val="19"/>
        </w:rPr>
        <w:t>[</w:t>
      </w:r>
      <w:hyperlink w:anchor="ref35">
        <w:r>
          <w:rPr>
            <w:color w:val="205F68"/>
            <w:sz w:val="19"/>
          </w:rPr>
          <w:t>35</w:t>
        </w:r>
      </w:hyperlink>
      <w:r>
        <w:rPr>
          <w:sz w:val="19"/>
        </w:rPr>
        <w:t>]</w:t>
      </w:r>
      <w:r/>
    </w:p>
    <w:p>
      <w:pPr>
        <w:pStyle w:val="Heading2"/>
      </w:pPr>
      <w:r>
        <w:t>Diabetes and neurodegenerative disease</w:t>
      </w:r>
    </w:p>
    <w:p>
      <w:r>
        <w:t xml:space="preserve">Diabetic autonomic neuropathy can affect heart-rate regulation, blood-pressure responses, and other organs. This creates a direct bridge between metabolic disease, nerve injury, and cardiovascular function. NIDDK describes cardiovascular manifestations such as altered heart rate and blood-pressure changes with standing. A monitoring opportunity must therefore account for established diabetes care rather than frame the condition as a newly discovered category. </w:t>
      </w:r>
      <w:r>
        <w:rPr>
          <w:sz w:val="19"/>
        </w:rPr>
        <w:t>[</w:t>
      </w:r>
      <w:hyperlink w:anchor="ref36">
        <w:r>
          <w:rPr>
            <w:color w:val="205F68"/>
            <w:sz w:val="19"/>
          </w:rPr>
          <w:t>36</w:t>
        </w:r>
      </w:hyperlink>
      <w:r>
        <w:rPr>
          <w:sz w:val="19"/>
        </w:rPr>
        <w:t>]</w:t>
      </w:r>
      <w:r/>
    </w:p>
    <w:p>
      <w:r>
        <w:t xml:space="preserve">Parkinson’s disease can involve autonomic dysfunction, including orthostatic hypotension. Symptoms, medication effects, falls, and cardiovascular responses may need coordinated interpretation. Neurocardia’s contribution could be a shared explanatory framework and research workflow; it should not imply that wearable autonomic measures diagnose Parkinson’s disease. </w:t>
      </w:r>
      <w:r>
        <w:rPr>
          <w:sz w:val="19"/>
        </w:rPr>
        <w:t>[</w:t>
      </w:r>
      <w:hyperlink w:anchor="ref38">
        <w:r>
          <w:rPr>
            <w:color w:val="205F68"/>
            <w:sz w:val="19"/>
          </w:rPr>
          <w:t>38</w:t>
        </w:r>
      </w:hyperlink>
      <w:r>
        <w:rPr>
          <w:sz w:val="19"/>
        </w:rPr>
        <w:t>]</w:t>
      </w:r>
      <w:r/>
    </w:p>
    <w:p>
      <w:bookmarkStart w:id="12" w:name="ch12"/>
      <w:pPr>
        <w:pStyle w:val="Heading1"/>
        <w:pageBreakBefore w:val="0"/>
      </w:pPr>
      <w:r>
        <w:t>12 / Beyond the familiar connections</w:t>
      </w:r>
      <w:bookmarkEnd w:id="1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Connection</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Why it matters</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Evidence boundary</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Useful Neurocardia question</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Epilepsy, respiration, and cardiac regulation</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Seizures can interact with breathing and cardiac control; sudden unexpected death in epilepsy is a major concern</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Mechanisms are multifactorial; seizure alerts do not establish prevention of death</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 xml:space="preserve">What was measured, what event was detected, and what outcome has actually been improved? </w:t>
            </w:r>
            <w:r>
              <w:rPr>
                <w:b w:val="0"/>
                <w:color w:val="112534"/>
                <w:sz w:val="18"/>
              </w:rPr>
              <w:t>[</w:t>
            </w:r>
            <w:hyperlink w:anchor="ref37">
              <w:r>
                <w:rPr>
                  <w:color w:val="205F68"/>
                  <w:sz w:val="19"/>
                </w:rPr>
                <w:t>37</w:t>
              </w:r>
            </w:hyperlink>
            <w:r>
              <w:rPr>
                <w:b w:val="0"/>
                <w:color w:val="112534"/>
                <w:sz w:val="18"/>
              </w:rPr>
              <w:t xml:space="preserve">, </w:t>
            </w:r>
            <w:hyperlink w:anchor="ref62">
              <w:r>
                <w:rPr>
                  <w:color w:val="205F68"/>
                  <w:sz w:val="19"/>
                </w:rPr>
                <w:t>62</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Cardiac arrest and brain injury</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Interrupted circulation deprives the brain of oxygen and substrate</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Acute resuscitation and neurological prognosis require specialist care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How do perfusion, time, temperature, and neurological recovery connect? </w:t>
            </w:r>
            <w:r>
              <w:rPr>
                <w:b w:val="0"/>
                <w:color w:val="112534"/>
                <w:sz w:val="18"/>
              </w:rPr>
              <w:t>[</w:t>
            </w:r>
            <w:hyperlink w:anchor="ref3">
              <w:r>
                <w:rPr>
                  <w:color w:val="205F68"/>
                  <w:sz w:val="19"/>
                </w:rPr>
                <w:t>3</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Patent foramen ovale and embolic stroke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A structural passage can enable a heart-to-brain embolic route in selected circumstances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Closure evidence applies to selected patients after appropriate stroke workup</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Which phenotype and exclusion criteria made the trial result applicable? </w:t>
            </w:r>
            <w:r>
              <w:rPr>
                <w:b w:val="0"/>
                <w:color w:val="112534"/>
                <w:sz w:val="18"/>
              </w:rPr>
              <w:t>[</w:t>
            </w:r>
            <w:hyperlink w:anchor="ref39">
              <w:r>
                <w:rPr>
                  <w:color w:val="205F68"/>
                  <w:sz w:val="19"/>
                </w:rPr>
                <w:t>39</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Coronary disease and cognition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Shared vascular risk, cardiac function, and cerebral circulation link disease burdens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Association does not identify one reversible cause of cognitive impairment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Which modifiable risks and evidence-backed care pathways are shared? </w:t>
            </w:r>
            <w:r>
              <w:rPr>
                <w:b w:val="0"/>
                <w:color w:val="112534"/>
                <w:sz w:val="18"/>
              </w:rPr>
              <w:t>[</w:t>
            </w:r>
            <w:hyperlink w:anchor="ref20">
              <w:r>
                <w:rPr>
                  <w:color w:val="205F68"/>
                  <w:sz w:val="19"/>
                </w:rPr>
                <w:t>20</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Heart injury and neuroimmune signaling</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Experimental work identifies coordinated cardiac, neural, and immune responses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Specific animal mechanisms are not established human treatment targets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Which node was perturbed, and what remains to be shown in humans? </w:t>
            </w:r>
            <w:r>
              <w:rPr>
                <w:b w:val="0"/>
                <w:color w:val="112534"/>
                <w:sz w:val="18"/>
              </w:rPr>
              <w:t>[</w:t>
            </w:r>
            <w:hyperlink w:anchor="ref47">
              <w:r>
                <w:rPr>
                  <w:color w:val="205F68"/>
                  <w:sz w:val="19"/>
                </w:rPr>
                <w:t>47</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Medication and autonomic context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Drugs may change heart rate, vascular tone, cognition, or orthostatic symptoms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Effects depend on drug, dose, patient, and indication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Is a signal change attributable to disease, treatment, context, or measurement? </w:t>
            </w:r>
            <w:r>
              <w:rPr>
                <w:b w:val="0"/>
                <w:color w:val="112534"/>
                <w:sz w:val="18"/>
              </w:rPr>
              <w:t>[</w:t>
            </w:r>
            <w:hyperlink w:anchor="ref31">
              <w:r>
                <w:rPr>
                  <w:color w:val="205F68"/>
                  <w:sz w:val="19"/>
                </w:rPr>
                <w:t>31</w:t>
              </w:r>
            </w:hyperlink>
            <w:r>
              <w:rPr>
                <w:b w:val="0"/>
                <w:color w:val="112534"/>
                <w:sz w:val="18"/>
              </w:rPr>
              <w:t xml:space="preserve">, </w:t>
            </w:r>
            <w:hyperlink w:anchor="ref36">
              <w:r>
                <w:rPr>
                  <w:color w:val="205F68"/>
                  <w:sz w:val="19"/>
                </w:rPr>
                <w:t>36</w:t>
              </w:r>
            </w:hyperlink>
            <w:r>
              <w:rPr>
                <w:b w:val="0"/>
                <w:color w:val="112534"/>
                <w:sz w:val="18"/>
              </w:rPr>
              <w:t xml:space="preserve">, </w:t>
            </w:r>
            <w:hyperlink w:anchor="ref38">
              <w:r>
                <w:rPr>
                  <w:color w:val="205F68"/>
                  <w:sz w:val="19"/>
                </w:rPr>
                <w:t>38</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Exercise, recovery, and interoception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Physiological demand and perception change together</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A change in a wearable recovery metric is not a diagnosis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How much of an apparent effect survives adjustment for workload and breathing? </w:t>
            </w:r>
            <w:r>
              <w:rPr>
                <w:b w:val="0"/>
                <w:color w:val="112534"/>
                <w:sz w:val="18"/>
              </w:rPr>
              <w:t>[</w:t>
            </w:r>
            <w:hyperlink w:anchor="ref3">
              <w:r>
                <w:rPr>
                  <w:color w:val="205F68"/>
                  <w:sz w:val="19"/>
                </w:rPr>
                <w:t>3</w:t>
              </w:r>
            </w:hyperlink>
            <w:r>
              <w:rPr>
                <w:b w:val="0"/>
                <w:color w:val="112534"/>
                <w:sz w:val="18"/>
              </w:rPr>
              <w:t xml:space="preserve">, </w:t>
            </w:r>
            <w:hyperlink w:anchor="ref40">
              <w:r>
                <w:rPr>
                  <w:color w:val="205F68"/>
                  <w:sz w:val="19"/>
                </w:rPr>
                <w:t>40</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Circadian timing and nocturnal physiology</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Blood pressure, autonomic regulation, sleep, and activity vary by time</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Timing patterns are descriptive unless linked to validated decisions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Does time alignment reveal clinically relevant patterns beyond averages? </w:t>
            </w:r>
            <w:r>
              <w:rPr>
                <w:b w:val="0"/>
                <w:color w:val="112534"/>
                <w:sz w:val="18"/>
              </w:rPr>
              <w:t>[</w:t>
            </w:r>
            <w:hyperlink w:anchor="ref29">
              <w:r>
                <w:rPr>
                  <w:color w:val="205F68"/>
                  <w:sz w:val="19"/>
                </w:rPr>
                <w:t>29</w:t>
              </w:r>
            </w:hyperlink>
            <w:r>
              <w:rPr>
                <w:b w:val="0"/>
                <w:color w:val="112534"/>
                <w:sz w:val="18"/>
              </w:rPr>
              <w:t xml:space="preserve">, </w:t>
            </w:r>
            <w:hyperlink w:anchor="ref70">
              <w:r>
                <w:rPr>
                  <w:color w:val="205F68"/>
                  <w:sz w:val="19"/>
                </w:rPr>
                <w:t>70</w:t>
              </w:r>
            </w:hyperlink>
            <w:r>
              <w:rPr>
                <w:b w:val="0"/>
                <w:color w:val="112534"/>
                <w:sz w:val="18"/>
              </w:rPr>
              <w:t>]</w:t>
            </w:r>
            <w:r>
              <w:rPr>
                <w:b w:val="0"/>
                <w:color w:val="112534"/>
                <w:sz w:val="18"/>
              </w:rPr>
            </w:r>
          </w:p>
        </w:tc>
      </w:tr>
    </w:tbl>
    <w:p>
      <w:pPr>
        <w:spacing w:after="20"/>
      </w:pPr>
    </w:p>
    <w:p>
      <w:r>
        <w:t>The atlas should also reserve clearly labeled research spaces for sex and life-stage differences, pregnancy-related cardiovascular and neurological conditions, inflammatory disease, and gut–brain–heart hypotheses. These require dedicated evidence reviews before substantive claims are published. Inclusion on a future research agenda is not a statement that a specific mechanism or commercial opportunity has been established.</w:t>
      </w:r>
    </w:p>
    <w:p>
      <w:r>
        <w:t xml:space="preserve">A useful editorial rule is to distinguish </w:t>
      </w:r>
      <w:r>
        <w:rPr>
          <w:b/>
        </w:rPr>
        <w:t>direct neural pathways</w:t>
      </w:r>
      <w:r>
        <w:t xml:space="preserve">, </w:t>
      </w:r>
      <w:r>
        <w:rPr>
          <w:b/>
        </w:rPr>
        <w:t>shared vascular or metabolic pathways</w:t>
      </w:r>
      <w:r>
        <w:t xml:space="preserve">, and </w:t>
      </w:r>
      <w:r>
        <w:rPr>
          <w:b/>
        </w:rPr>
        <w:t>adjacent neurological–cardiovascular problems</w:t>
      </w:r>
      <w:r>
        <w:t>. All belong in the wider map, but only the first group should automatically be described as neural modulation of the cardiovascular system.</w:t>
      </w:r>
    </w:p>
    <w:p>
      <w:bookmarkStart w:id="13" w:name="ch13"/>
      <w:pPr>
        <w:pStyle w:val="Heading1"/>
        <w:pageBreakBefore w:val="0"/>
      </w:pPr>
      <w:r>
        <w:t>13 / What the signals actually tell us</w:t>
      </w:r>
      <w:bookmarkEnd w:id="13"/>
    </w:p>
    <w:p>
      <w:pPr>
        <w:pStyle w:val="Heading2"/>
      </w:pPr>
      <w:r>
        <w:t>Measurement specificity is a competitive advantage</w:t>
      </w:r>
    </w:p>
    <w:p>
      <w:r>
        <w:t>A credible platform must resist a common shortcut: combining several biological streams and labeling the result “nervous-system intelligence.” Every measurement has a physical origin, an acquisition method, confounders, and a limited interpretation. ECG, EEG, and PPG are complementary; they are not interchangeable.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Signal</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Direct observation</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Potential contribution</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Does not establish by itself</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ECG</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Electrical potential differences generated by cardiac depolarization and repolarization</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Rhythm classification, intervals, beat timing</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Direct nerve firing, emotional state, or a complete measure of autonomic activity</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EEG</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Scalp or ear-region electrical potentials reflecting summed neural activity, with artifacts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Sleep and neural-state features where validated</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Cardiac diagnosis, immutable identity, or accurate readout of thoughts</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PPG</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Optical changes associated with peripheral blood-volume pulses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Pulse rate and context-dependent pulse variability</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ECG equivalence, reliable rhythm classification in every condition, or absolute blood pressure without validated methods</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HRV</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Statistical variation in suitable beat-to-beat intervals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Contextual marker for studying regulation and response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A universal stress score or an isolated quantitative measure of vagal “health”</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Blood pressure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Pressure estimated or measured by a specified method</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Hypertension assessment and orthostatic or temporal phenotyping</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The neural cause of an abnormal value</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Respiration and oxygen saturation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Breathing-related signals and an estimate of oxygen saturation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Respiratory context, sleep and desaturation patterns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Complete apnea characterization or downstream event risk without validation</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Electrodermal activity</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Changes related to sweat-gland activity</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A sympathetic-associated contextual signal</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A specific emotion, diagnosis, or comprehensive autonomic balance</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Imaging and clinical assessment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Anatomy, perfusion, lesions, function, and clinical phenotype</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Adjudication and mechanistic context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Continuous physiology outside the measurement window</w:t>
            </w:r>
          </w:p>
        </w:tc>
      </w:tr>
    </w:tbl>
    <w:p>
      <w:pPr>
        <w:spacing w:after="20"/>
      </w:pPr>
    </w:p>
    <w:p>
      <w:r>
        <w:t xml:space="preserve">Sources and conceptual basis: cardiac physiology, brain–heart review, and methodological HRV guidance. </w:t>
      </w:r>
      <w:r>
        <w:rPr>
          <w:sz w:val="19"/>
        </w:rPr>
        <w:t>[</w:t>
      </w:r>
      <w:hyperlink w:anchor="ref1">
        <w:r>
          <w:rPr>
            <w:color w:val="205F68"/>
            <w:sz w:val="19"/>
          </w:rPr>
          <w:t>1</w:t>
        </w:r>
      </w:hyperlink>
      <w:r>
        <w:rPr>
          <w:sz w:val="19"/>
        </w:rPr>
        <w:t xml:space="preserve">, </w:t>
      </w:r>
      <w:hyperlink w:anchor="ref3">
        <w:r>
          <w:rPr>
            <w:color w:val="205F68"/>
            <w:sz w:val="19"/>
          </w:rPr>
          <w:t>3</w:t>
        </w:r>
      </w:hyperlink>
      <w:r>
        <w:rPr>
          <w:sz w:val="19"/>
        </w:rPr>
        <w:t xml:space="preserve">, </w:t>
      </w:r>
      <w:hyperlink w:anchor="ref40">
        <w:r>
          <w:rPr>
            <w:color w:val="205F68"/>
            <w:sz w:val="19"/>
          </w:rPr>
          <w:t>40</w:t>
        </w:r>
      </w:hyperlink>
      <w:r>
        <w:rPr>
          <w:sz w:val="19"/>
        </w:rPr>
        <w:t xml:space="preserve">, </w:t>
      </w:r>
      <w:hyperlink w:anchor="ref41">
        <w:r>
          <w:rPr>
            <w:color w:val="205F68"/>
            <w:sz w:val="19"/>
          </w:rPr>
          <w:t>41</w:t>
        </w:r>
      </w:hyperlink>
      <w:r>
        <w:rPr>
          <w:sz w:val="19"/>
        </w:rPr>
        <w:t>]</w:t>
      </w:r>
      <w:r/>
    </w:p>
    <w:p>
      <w:pPr>
        <w:pStyle w:val="Heading2"/>
      </w:pPr>
      <w:r>
        <w:t>Why an attractive correlation may disappear</w:t>
      </w:r>
    </w:p>
    <w:p>
      <w:r>
        <w:t xml:space="preserve">Heart rate changes with breathing, posture, movement, circadian timing, illness, and medication. HRV estimates depend on recording duration, artifact handling, rhythm, and measurement modality. Frequency-domain ratios should not be marketed as a simple dial of sympathetic versus parasympathetic balance. Methodological guidance emphasizes contextual reporting and reproducibility. </w:t>
      </w:r>
      <w:r>
        <w:rPr>
          <w:sz w:val="19"/>
        </w:rPr>
        <w:t>[</w:t>
      </w:r>
      <w:hyperlink w:anchor="ref40">
        <w:r>
          <w:rPr>
            <w:color w:val="205F68"/>
            <w:sz w:val="19"/>
          </w:rPr>
          <w:t>40</w:t>
        </w:r>
      </w:hyperlink>
      <w:r>
        <w:rPr>
          <w:sz w:val="19"/>
        </w:rPr>
        <w:t xml:space="preserve">, </w:t>
      </w:r>
      <w:hyperlink w:anchor="ref41">
        <w:r>
          <w:rPr>
            <w:color w:val="205F68"/>
            <w:sz w:val="19"/>
          </w:rPr>
          <w:t>41</w:t>
        </w:r>
      </w:hyperlink>
      <w:r>
        <w:rPr>
          <w:sz w:val="19"/>
        </w:rPr>
        <w:t>]</w:t>
      </w:r>
      <w:r/>
    </w:p>
    <w:p>
      <w:r>
        <w:t>The research platform should retain raw or appropriately governed source data, device and software versions, sampling characteristics, timestamps, quality masks, wear-time denominators, and reasons for missingness. Resampling streams onto a common chart does not recover information that a sensor never captured.</w:t>
      </w:r>
    </w:p>
    <w:p>
      <w:r>
        <w:t>For modeling, split participants and recording sessions before feature selection. Keep future information out of prediction windows. Compare multimodal models with strong clinical and single-signal baselines. Measure calibration and subgroup performance as well as discrimination. Conduct ablation studies: remove EEG, HRV, or another feature family and assess whether it contributes useful independent information.</w:t>
      </w:r>
    </w:p>
    <w:p>
      <w:pPr>
        <w:pStyle w:val="Heading2"/>
      </w:pPr>
      <w:r>
        <w:t>Three separate trust questions</w:t>
      </w:r>
    </w:p>
    <w:p>
      <w:r/>
      <w:r>
        <w:rPr>
          <w:b/>
        </w:rPr>
        <w:t>Attribution:</w:t>
      </w:r>
      <w:r>
        <w:t xml:space="preserve"> whose session is this, and how was authorization established? </w:t>
      </w:r>
      <w:r>
        <w:rPr>
          <w:b/>
        </w:rPr>
        <w:t>Measurement validity:</w:t>
      </w:r>
      <w:r>
        <w:t xml:space="preserve"> did the device and processing accurately measure the intended construct? </w:t>
      </w:r>
      <w:r>
        <w:rPr>
          <w:b/>
        </w:rPr>
        <w:t>Clinical utility:</w:t>
      </w:r>
      <w:r>
        <w:t xml:space="preserve"> did acting on the result improve a meaningful outcome? The prior Keycard feasibility work is useful for designing attribution experiments, but success on attribution would not answer the other two questions.</w:t>
      </w:r>
    </w:p>
    <w:p>
      <w:r>
        <w:t>For the initial Site, all interactive signal demonstrations should be synthetic. A later research workspace could support consented data under a separate protocol and access model. No live integration should appear “connected” without an actual verified connection.</w:t>
      </w:r>
    </w:p>
    <w:p>
      <w:bookmarkStart w:id="14" w:name="ch14"/>
      <w:pPr>
        <w:pStyle w:val="Heading1"/>
        <w:pageBreakBefore w:val="0"/>
      </w:pPr>
      <w:r>
        <w:t>14 / The therapeutic frontier</w:t>
      </w:r>
      <w:bookmarkEnd w:id="14"/>
    </w:p>
    <w:p>
      <w:r>
        <w:t>The frontier is moving from broad descriptions of autonomic balance toward specific afferent and efferent pathways, stimulation targets, phenotypes, and dosing. The market will be shaped by whether that specificity improves patient selection and outcomes.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Approach</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Illustrative evidence or product</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Established versus unresolved</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Strategic implication</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Baroreflex activation</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CVRx Barostim; BeAT-HF</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Commercial therapy and symptomatic evidence in selected heart failure; primary long-term hard-outcome endpoint neutral</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 xml:space="preserve">Differentiate functional improvement from future outcome hypotheses </w:t>
            </w:r>
            <w:r>
              <w:rPr>
                <w:b w:val="0"/>
                <w:color w:val="112534"/>
                <w:sz w:val="18"/>
              </w:rPr>
              <w:t>[</w:t>
            </w:r>
            <w:hyperlink w:anchor="ref22">
              <w:r>
                <w:rPr>
                  <w:color w:val="205F68"/>
                  <w:sz w:val="19"/>
                </w:rPr>
                <w:t>22</w:t>
              </w:r>
            </w:hyperlink>
            <w:r>
              <w:rPr>
                <w:b w:val="0"/>
                <w:color w:val="112534"/>
                <w:sz w:val="18"/>
              </w:rPr>
              <w:t xml:space="preserve">, </w:t>
            </w:r>
            <w:hyperlink w:anchor="ref26">
              <w:r>
                <w:rPr>
                  <w:color w:val="205F68"/>
                  <w:sz w:val="19"/>
                </w:rPr>
                <w:t>26</w:t>
              </w:r>
            </w:hyperlink>
            <w:r>
              <w:rPr>
                <w:b w:val="0"/>
                <w:color w:val="112534"/>
                <w:sz w:val="18"/>
              </w:rPr>
              <w:t xml:space="preserve">, </w:t>
            </w:r>
            <w:hyperlink w:anchor="ref27">
              <w:r>
                <w:rPr>
                  <w:color w:val="205F68"/>
                  <w:sz w:val="19"/>
                </w:rPr>
                <w:t>27</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Renal denervation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Recor Paradise and Medtronic Symplicity Spyral</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FDA-authorized systems for specified hypertension uses; U.S. Medicare coverage has study conditions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Neural intervention has a real care pathway, but access is not unrestricted </w:t>
            </w:r>
            <w:r>
              <w:rPr>
                <w:b w:val="0"/>
                <w:color w:val="112534"/>
                <w:sz w:val="18"/>
              </w:rPr>
              <w:t>[</w:t>
            </w:r>
            <w:hyperlink w:anchor="ref24">
              <w:r>
                <w:rPr>
                  <w:color w:val="205F68"/>
                  <w:sz w:val="19"/>
                </w:rPr>
                <w:t>24</w:t>
              </w:r>
            </w:hyperlink>
            <w:r>
              <w:rPr>
                <w:b w:val="0"/>
                <w:color w:val="112534"/>
                <w:sz w:val="18"/>
              </w:rPr>
              <w:t xml:space="preserve">, </w:t>
            </w:r>
            <w:hyperlink w:anchor="ref25">
              <w:r>
                <w:rPr>
                  <w:color w:val="205F68"/>
                  <w:sz w:val="19"/>
                </w:rPr>
                <w:t>25</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Vagus stimulation for AF</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TREAT AF</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Small randomized study supports a signal in AF burden; event prevention unproven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A research opportunity, not a substitute for established stroke-risk care </w:t>
            </w:r>
            <w:r>
              <w:rPr>
                <w:b w:val="0"/>
                <w:color w:val="112534"/>
                <w:sz w:val="18"/>
              </w:rPr>
              <w:t>[</w:t>
            </w:r>
            <w:hyperlink w:anchor="ref42">
              <w:r>
                <w:rPr>
                  <w:color w:val="205F68"/>
                  <w:sz w:val="19"/>
                </w:rPr>
                <w:t>42</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Vagus stimulation for POTS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Randomized pilot evidence</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Early phenotype-specific evidence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Prioritize replication and mechanism-sensitive selection </w:t>
            </w:r>
            <w:r>
              <w:rPr>
                <w:b w:val="0"/>
                <w:color w:val="112534"/>
                <w:sz w:val="18"/>
              </w:rPr>
              <w:t>[</w:t>
            </w:r>
            <w:hyperlink w:anchor="ref32">
              <w:r>
                <w:rPr>
                  <w:color w:val="205F68"/>
                  <w:sz w:val="19"/>
                </w:rPr>
                <w:t>32</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Vagus stimulation for heart failure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INOVATE-HF</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Major outcome trial was neutral</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Show negative evidence prominently </w:t>
            </w:r>
            <w:r>
              <w:rPr>
                <w:b w:val="0"/>
                <w:color w:val="112534"/>
                <w:sz w:val="18"/>
              </w:rPr>
              <w:t>[</w:t>
            </w:r>
            <w:hyperlink w:anchor="ref23">
              <w:r>
                <w:rPr>
                  <w:color w:val="205F68"/>
                  <w:sz w:val="19"/>
                </w:rPr>
                <w:t>23</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Stellate ganglion block</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STAR study in electrical storm</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Prospective observational evidence in an acute specialist setting</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Distinct from chronic prevention and consumer neuromodulation </w:t>
            </w:r>
            <w:r>
              <w:rPr>
                <w:b w:val="0"/>
                <w:color w:val="112534"/>
                <w:sz w:val="18"/>
              </w:rPr>
              <w:t>[</w:t>
            </w:r>
            <w:hyperlink w:anchor="ref43">
              <w:r>
                <w:rPr>
                  <w:color w:val="205F68"/>
                  <w:sz w:val="19"/>
                </w:rPr>
                <w:t>43</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Cardioneuroablation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Electrophysiology consensus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Emerging use in selected reflex syncope or functional bradyarrhythmia</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Needs rigorous selection, follow-up, and comparative evidence </w:t>
            </w:r>
            <w:r>
              <w:rPr>
                <w:b w:val="0"/>
                <w:color w:val="112534"/>
                <w:sz w:val="18"/>
              </w:rPr>
              <w:t>[</w:t>
            </w:r>
            <w:hyperlink w:anchor="ref35">
              <w:r>
                <w:rPr>
                  <w:color w:val="205F68"/>
                  <w:sz w:val="19"/>
                </w:rPr>
                <w:t>35</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Paired VNS for stroke rehabilitation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Vivistim; pivotal randomized trial</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FDA-approved pairing with rehabilitation for specified chronic ischemic-stroke impairment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A validated brain–body rehabilitation business, not stroke prevention </w:t>
            </w:r>
            <w:r>
              <w:rPr>
                <w:b w:val="0"/>
                <w:color w:val="112534"/>
                <w:sz w:val="18"/>
              </w:rPr>
              <w:t>[</w:t>
            </w:r>
            <w:hyperlink w:anchor="ref44">
              <w:r>
                <w:rPr>
                  <w:color w:val="205F68"/>
                  <w:sz w:val="19"/>
                </w:rPr>
                <w:t>44</w:t>
              </w:r>
            </w:hyperlink>
            <w:r>
              <w:rPr>
                <w:b w:val="0"/>
                <w:color w:val="112534"/>
                <w:sz w:val="18"/>
              </w:rPr>
              <w:t xml:space="preserve">, </w:t>
            </w:r>
            <w:hyperlink w:anchor="ref45">
              <w:r>
                <w:rPr>
                  <w:color w:val="205F68"/>
                  <w:sz w:val="19"/>
                </w:rPr>
                <w:t>45</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VNS for inflammatory disease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SetPoint System</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FDA approval for a specified rheumatoid-arthritis population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Adjacent proof of a neuroimmune regulatory pathway; not a cardiovascular indication </w:t>
            </w:r>
            <w:r>
              <w:rPr>
                <w:b w:val="0"/>
                <w:color w:val="112534"/>
                <w:sz w:val="18"/>
              </w:rPr>
              <w:t>[</w:t>
            </w:r>
            <w:hyperlink w:anchor="ref46">
              <w:r>
                <w:rPr>
                  <w:color w:val="205F68"/>
                  <w:sz w:val="19"/>
                </w:rPr>
                <w:t>46</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Circuit-specific neuroimmune intervention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2026 Cell heart–brain research</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Preclinical identification and perturbation of a multi-node circuit after infarction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Useful discovery map; no clinical efficacy or commercial readiness claim </w:t>
            </w:r>
            <w:r>
              <w:rPr>
                <w:b w:val="0"/>
                <w:color w:val="112534"/>
                <w:sz w:val="18"/>
              </w:rPr>
              <w:t>[</w:t>
            </w:r>
            <w:hyperlink w:anchor="ref47">
              <w:r>
                <w:rPr>
                  <w:color w:val="205F68"/>
                  <w:sz w:val="19"/>
                </w:rPr>
                <w:t>47</w:t>
              </w:r>
            </w:hyperlink>
            <w:r>
              <w:rPr>
                <w:b w:val="0"/>
                <w:color w:val="112534"/>
                <w:sz w:val="18"/>
              </w:rPr>
              <w:t>]</w:t>
            </w:r>
            <w:r>
              <w:rPr>
                <w:b w:val="0"/>
                <w:color w:val="112534"/>
                <w:sz w:val="18"/>
              </w:rPr>
            </w:r>
          </w:p>
        </w:tc>
      </w:tr>
    </w:tbl>
    <w:p>
      <w:pPr>
        <w:spacing w:after="20"/>
      </w:pPr>
    </w:p>
    <w:p>
      <w:r>
        <w:t xml:space="preserve">The original market narrative should expand from “measure more signals” to </w:t>
      </w:r>
      <w:r>
        <w:rPr>
          <w:b/>
        </w:rPr>
        <w:t>match the intervention to the mechanism and the patient</w:t>
      </w:r>
      <w:r>
        <w:t>. That creates a role for phenotyping, trial design, and evidence navigation. It does not imply that one stimulation technology can address all conditions that involve autonomic regulation.</w:t>
      </w:r>
    </w:p>
    <w:p>
      <w:r>
        <w:t>Small positive studies deserve attention, but not visual equality with large confirmatory trials. A distinctive Site can make that difference intuitive: evidence cards show study design, sample size where verified, population, comparator, endpoint, duration, and major limitations. A user should understand why a compelling mechanistic image and a positive clinical outcome trial answer different questions.</w:t>
      </w:r>
    </w:p>
    <w:p>
      <w:bookmarkStart w:id="15" w:name="ch15"/>
      <w:pPr>
        <w:pStyle w:val="Heading1"/>
        <w:pageBreakBefore/>
      </w:pPr>
      <w:r>
        <w:t>15 / Market structure and competitors</w:t>
      </w:r>
      <w:bookmarkEnd w:id="15"/>
    </w:p>
    <w:p>
      <w:pPr>
        <w:pStyle w:val="Heading2"/>
      </w:pPr>
      <w:r>
        <w:t>There is no single clean neurocardiac market total</w:t>
      </w:r>
    </w:p>
    <w:p>
      <w:r>
        <w:t>Neurocardia spans existing categories: rhythm monitoring, stroke care, blood-pressure management, neuromodulation, rehabilitation, sleep and EEG measurement, research software, and clinical workflow. Their revenues and patient populations overlap. Adding published category estimates would produce an inflated and poorly defined market.</w:t>
      </w:r>
    </w:p>
    <w:p>
      <w:r>
        <w:t xml:space="preserve">Use three views instead: </w:t>
      </w:r>
      <w:r>
        <w:rPr>
          <w:b/>
        </w:rPr>
        <w:t>clinical burden</w:t>
      </w:r>
      <w:r>
        <w:t xml:space="preserve">, </w:t>
      </w:r>
      <w:r>
        <w:rPr>
          <w:b/>
        </w:rPr>
        <w:t>current spending and products</w:t>
      </w:r>
      <w:r>
        <w:t xml:space="preserve">, and </w:t>
      </w:r>
      <w:r>
        <w:rPr>
          <w:b/>
        </w:rPr>
        <w:t>the specific serviceable workflow</w:t>
      </w:r>
      <w:r>
        <w:t xml:space="preserve"> Neurocardia could address. For scale, the AHA describes more than 10 million U.S. adults living with AF, CDC reports more than 795,000 U.S. strokes annually, and WHO estimates 1.4 billion adults aged 30–79 had hypertension in 2024. These figures use different populations, geographies, and time bases and must not be added. </w:t>
      </w:r>
      <w:r>
        <w:rPr>
          <w:sz w:val="19"/>
        </w:rPr>
        <w:t>[</w:t>
      </w:r>
      <w:hyperlink w:anchor="ref4">
        <w:r>
          <w:rPr>
            <w:color w:val="205F68"/>
            <w:sz w:val="19"/>
          </w:rPr>
          <w:t>4</w:t>
        </w:r>
      </w:hyperlink>
      <w:r>
        <w:rPr>
          <w:sz w:val="19"/>
        </w:rPr>
        <w:t xml:space="preserve">, </w:t>
      </w:r>
      <w:hyperlink w:anchor="ref6">
        <w:r>
          <w:rPr>
            <w:color w:val="205F68"/>
            <w:sz w:val="19"/>
          </w:rPr>
          <w:t>6</w:t>
        </w:r>
      </w:hyperlink>
      <w:r>
        <w:rPr>
          <w:sz w:val="19"/>
        </w:rPr>
        <w:t xml:space="preserve">, </w:t>
      </w:r>
      <w:hyperlink w:anchor="ref7">
        <w:r>
          <w:rPr>
            <w:color w:val="205F68"/>
            <w:sz w:val="19"/>
          </w:rPr>
          <w:t>7</w:t>
        </w:r>
      </w:hyperlink>
      <w:r>
        <w:rPr>
          <w:sz w:val="19"/>
        </w:rPr>
        <w:t>]</w:t>
      </w:r>
      <w:r/>
    </w:p>
    <w:p>
      <w:pPr>
        <w:pStyle w:val="Heading2"/>
      </w:pPr>
      <w:r>
        <w:t>Direct intervention and rehabilitation participants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Company / platform</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Relevant position</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Status and boundary</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Potential relationship to Neurocardia</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CVRx / Barostim</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Baroreflex activation in selected heart failure</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Commercial; functional evidence and ongoing outcomes development</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 xml:space="preserve">Evidence mapping, referral research, responder studies </w:t>
            </w:r>
            <w:r>
              <w:rPr>
                <w:b w:val="0"/>
                <w:color w:val="112534"/>
                <w:sz w:val="18"/>
              </w:rPr>
              <w:t>[</w:t>
            </w:r>
            <w:hyperlink w:anchor="ref22">
              <w:r>
                <w:rPr>
                  <w:color w:val="205F68"/>
                  <w:sz w:val="19"/>
                </w:rPr>
                <w:t>22</w:t>
              </w:r>
            </w:hyperlink>
            <w:r>
              <w:rPr>
                <w:b w:val="0"/>
                <w:color w:val="112534"/>
                <w:sz w:val="18"/>
              </w:rPr>
              <w:t xml:space="preserve">, </w:t>
            </w:r>
            <w:hyperlink w:anchor="ref26">
              <w:r>
                <w:rPr>
                  <w:color w:val="205F68"/>
                  <w:sz w:val="19"/>
                </w:rPr>
                <w:t>26</w:t>
              </w:r>
            </w:hyperlink>
            <w:r>
              <w:rPr>
                <w:b w:val="0"/>
                <w:color w:val="112534"/>
                <w:sz w:val="18"/>
              </w:rPr>
              <w:t xml:space="preserve">, </w:t>
            </w:r>
            <w:hyperlink w:anchor="ref27">
              <w:r>
                <w:rPr>
                  <w:color w:val="205F68"/>
                  <w:sz w:val="19"/>
                </w:rPr>
                <w:t>27</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Recor Medical / Otsuka / Paradise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Ultrasound renal denervation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FDA-approved system; market access varies by country and payer</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Hypertension pathway and brain-health evidence integration </w:t>
            </w:r>
            <w:r>
              <w:rPr>
                <w:b w:val="0"/>
                <w:color w:val="112534"/>
                <w:sz w:val="18"/>
              </w:rPr>
              <w:t>[</w:t>
            </w:r>
            <w:hyperlink w:anchor="ref24">
              <w:r>
                <w:rPr>
                  <w:color w:val="205F68"/>
                  <w:sz w:val="19"/>
                </w:rPr>
                <w:t>24</w:t>
              </w:r>
            </w:hyperlink>
            <w:r>
              <w:rPr>
                <w:b w:val="0"/>
                <w:color w:val="112534"/>
                <w:sz w:val="18"/>
              </w:rPr>
              <w:t xml:space="preserve">, </w:t>
            </w:r>
            <w:hyperlink w:anchor="ref68">
              <w:r>
                <w:rPr>
                  <w:color w:val="205F68"/>
                  <w:sz w:val="19"/>
                </w:rPr>
                <w:t>68</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Medtronic / Symplicity Spyral and LINQ II</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Renal denervation and insertable rhythm monitoring</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Distinct therapeutic and diagnostic product lines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Connect neural BP intervention and rhythm workflows without conflating products </w:t>
            </w:r>
            <w:r>
              <w:rPr>
                <w:b w:val="0"/>
                <w:color w:val="112534"/>
                <w:sz w:val="18"/>
              </w:rPr>
              <w:t>[</w:t>
            </w:r>
            <w:hyperlink w:anchor="ref25">
              <w:r>
                <w:rPr>
                  <w:color w:val="205F68"/>
                  <w:sz w:val="19"/>
                </w:rPr>
                <w:t>25</w:t>
              </w:r>
            </w:hyperlink>
            <w:r>
              <w:rPr>
                <w:b w:val="0"/>
                <w:color w:val="112534"/>
                <w:sz w:val="18"/>
              </w:rPr>
              <w:t xml:space="preserve">, </w:t>
            </w:r>
            <w:hyperlink w:anchor="ref58">
              <w:r>
                <w:rPr>
                  <w:color w:val="205F68"/>
                  <w:sz w:val="19"/>
                </w:rPr>
                <w:t>58</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Mobia Medical / Vivistim</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Paired VNS with stroke rehabilitation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Formerly MicroTransponder; FDA-approved defined use; public listing in 2026</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Rehabilitation pathway and outcome literacy </w:t>
            </w:r>
            <w:r>
              <w:rPr>
                <w:b w:val="0"/>
                <w:color w:val="112534"/>
                <w:sz w:val="18"/>
              </w:rPr>
              <w:t>[</w:t>
            </w:r>
            <w:hyperlink w:anchor="ref45">
              <w:r>
                <w:rPr>
                  <w:color w:val="205F68"/>
                  <w:sz w:val="19"/>
                </w:rPr>
                <w:t>45</w:t>
              </w:r>
            </w:hyperlink>
            <w:r>
              <w:rPr>
                <w:b w:val="0"/>
                <w:color w:val="112534"/>
                <w:sz w:val="18"/>
              </w:rPr>
              <w:t xml:space="preserve">, </w:t>
            </w:r>
            <w:hyperlink w:anchor="ref48">
              <w:r>
                <w:rPr>
                  <w:color w:val="205F68"/>
                  <w:sz w:val="19"/>
                </w:rPr>
                <w:t>48</w:t>
              </w:r>
            </w:hyperlink>
            <w:r>
              <w:rPr>
                <w:b w:val="0"/>
                <w:color w:val="112534"/>
                <w:sz w:val="18"/>
              </w:rPr>
              <w:t xml:space="preserve">, </w:t>
            </w:r>
            <w:hyperlink w:anchor="ref49">
              <w:r>
                <w:rPr>
                  <w:color w:val="205F68"/>
                  <w:sz w:val="19"/>
                </w:rPr>
                <w:t>49</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SetPoint Medical</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Neuroimmune modulation for rheumatoid arthritis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FDA-approved specified RA use in 2025</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Adjacent platform precedent; not a direct cardiac competitor </w:t>
            </w:r>
            <w:r>
              <w:rPr>
                <w:b w:val="0"/>
                <w:color w:val="112534"/>
                <w:sz w:val="18"/>
              </w:rPr>
              <w:t>[</w:t>
            </w:r>
            <w:hyperlink w:anchor="ref46">
              <w:r>
                <w:rPr>
                  <w:color w:val="205F68"/>
                  <w:sz w:val="19"/>
                </w:rPr>
                <w:t>46</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Aurenar / VLink</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Noninvasive vagus stimulation in neurocritical care</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Company-reported seed funding and development program; investigational</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Emerging stroke/inflammation research watchlist </w:t>
            </w:r>
            <w:r>
              <w:rPr>
                <w:b w:val="0"/>
                <w:color w:val="112534"/>
                <w:sz w:val="18"/>
              </w:rPr>
              <w:t>[</w:t>
            </w:r>
            <w:hyperlink w:anchor="ref50">
              <w:r>
                <w:rPr>
                  <w:color w:val="205F68"/>
                  <w:sz w:val="19"/>
                </w:rPr>
                <w:t>50</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Nyrada / Xolatryp</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TRPC-channel drug development across brain and cardiac injury</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Early clinical program; company-reported Phase IIa MI study activity</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Shared injury biology watchlist, not a neural device or proven treatment </w:t>
            </w:r>
            <w:r>
              <w:rPr>
                <w:b w:val="0"/>
                <w:color w:val="112534"/>
                <w:sz w:val="18"/>
              </w:rPr>
              <w:t>[</w:t>
            </w:r>
            <w:hyperlink w:anchor="ref57">
              <w:r>
                <w:rPr>
                  <w:color w:val="205F68"/>
                  <w:sz w:val="19"/>
                </w:rPr>
                <w:t>57</w:t>
              </w:r>
            </w:hyperlink>
            <w:r>
              <w:rPr>
                <w:b w:val="0"/>
                <w:color w:val="112534"/>
                <w:sz w:val="18"/>
              </w:rPr>
              <w:t>]</w:t>
            </w:r>
            <w:r>
              <w:rPr>
                <w:b w:val="0"/>
                <w:color w:val="112534"/>
                <w:sz w:val="18"/>
              </w:rPr>
            </w:r>
          </w:p>
        </w:tc>
      </w:tr>
    </w:tbl>
    <w:p>
      <w:pPr>
        <w:spacing w:after="20"/>
      </w:pPr>
    </w:p>
    <w:p>
      <w:pPr>
        <w:pStyle w:val="Heading2"/>
      </w:pPr>
      <w:r>
        <w:t>Sensing and physiological data participants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Company / platform</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Relevant capability</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Important distinction</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Potential relationship</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iRhythm / Zio</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Ambulatory ECG analysis and clinical workflow</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Cardiac rhythm evidence; ECG is not a nerve recording</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 xml:space="preserve">Rhythm and post-stroke monitoring evidence </w:t>
            </w:r>
            <w:r>
              <w:rPr>
                <w:b w:val="0"/>
                <w:color w:val="112534"/>
                <w:sz w:val="18"/>
              </w:rPr>
              <w:t>[</w:t>
            </w:r>
            <w:hyperlink w:anchor="ref51">
              <w:r>
                <w:rPr>
                  <w:color w:val="205F68"/>
                  <w:sz w:val="19"/>
                </w:rPr>
                <w:t>51</w:t>
              </w:r>
            </w:hyperlink>
            <w:r>
              <w:rPr>
                <w:b w:val="0"/>
                <w:color w:val="112534"/>
                <w:sz w:val="18"/>
              </w:rPr>
              <w:t xml:space="preserve">, </w:t>
            </w:r>
            <w:hyperlink w:anchor="ref72">
              <w:r>
                <w:rPr>
                  <w:color w:val="205F68"/>
                  <w:sz w:val="19"/>
                </w:rPr>
                <w:t>72</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VitalConnect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Wearable multiparameter monitoring</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Acquisition by iRhythm announced; closing not verified as of cutoff</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Hospital-to-home multimodal workflow watchlist </w:t>
            </w:r>
            <w:r>
              <w:rPr>
                <w:b w:val="0"/>
                <w:color w:val="112534"/>
                <w:sz w:val="18"/>
              </w:rPr>
              <w:t>[</w:t>
            </w:r>
            <w:hyperlink w:anchor="ref51">
              <w:r>
                <w:rPr>
                  <w:color w:val="205F68"/>
                  <w:sz w:val="19"/>
                </w:rPr>
                <w:t>51</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Abbott / Assert-IQ</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Insertable cardiac monitoring</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Cardiac rhythm monitoring rather than direct brain sensing</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Longitudinal rhythm pathway </w:t>
            </w:r>
            <w:r>
              <w:rPr>
                <w:b w:val="0"/>
                <w:color w:val="112534"/>
                <w:sz w:val="18"/>
              </w:rPr>
              <w:t>[</w:t>
            </w:r>
            <w:hyperlink w:anchor="ref59">
              <w:r>
                <w:rPr>
                  <w:color w:val="205F68"/>
                  <w:sz w:val="19"/>
                </w:rPr>
                <w:t>59</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Philips / MCOT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Mobile cardiac outpatient telemetry</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Monitoring service; economic modeling is not randomized clinical benefit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Monitoring workflow and evidence comparison </w:t>
            </w:r>
            <w:r>
              <w:rPr>
                <w:b w:val="0"/>
                <w:color w:val="112534"/>
                <w:sz w:val="18"/>
              </w:rPr>
              <w:t>[</w:t>
            </w:r>
            <w:hyperlink w:anchor="ref60">
              <w:r>
                <w:rPr>
                  <w:color w:val="205F68"/>
                  <w:sz w:val="19"/>
                </w:rPr>
                <w:t>60</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AliveCor / Kardia</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Consumer and professional ECG products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Product-specific clearances; capabilities differ across devices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Accessible rhythm literacy and product comparison </w:t>
            </w:r>
            <w:r>
              <w:rPr>
                <w:b w:val="0"/>
                <w:color w:val="112534"/>
                <w:sz w:val="18"/>
              </w:rPr>
              <w:t>[</w:t>
            </w:r>
            <w:hyperlink w:anchor="ref61">
              <w:r>
                <w:rPr>
                  <w:color w:val="205F68"/>
                  <w:sz w:val="19"/>
                </w:rPr>
                <w:t>61</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Apple / Watch</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Consumer physiological monitoring and selected regulated features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Hypertension notification is not a blood-pressure reading or diagnosis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Explain the detection-to-confirmation gap </w:t>
            </w:r>
            <w:r>
              <w:rPr>
                <w:b w:val="0"/>
                <w:color w:val="112534"/>
                <w:sz w:val="18"/>
              </w:rPr>
              <w:t>[</w:t>
            </w:r>
            <w:hyperlink w:anchor="ref53">
              <w:r>
                <w:rPr>
                  <w:color w:val="205F68"/>
                  <w:sz w:val="19"/>
                </w:rPr>
                <w:t>53</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Empatica / EpiMonitor and EmbracePlus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Seizure-alert and research wearable platforms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Peripheral signals rather than EEG; alerting does not establish SUDEP prevention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Cross-condition signal literacy and study infrastructure </w:t>
            </w:r>
            <w:r>
              <w:rPr>
                <w:b w:val="0"/>
                <w:color w:val="112534"/>
                <w:sz w:val="18"/>
              </w:rPr>
              <w:t>[</w:t>
            </w:r>
            <w:hyperlink w:anchor="ref62">
              <w:r>
                <w:rPr>
                  <w:color w:val="205F68"/>
                  <w:sz w:val="19"/>
                </w:rPr>
                <w:t>62</w:t>
              </w:r>
            </w:hyperlink>
            <w:r>
              <w:rPr>
                <w:b w:val="0"/>
                <w:color w:val="112534"/>
                <w:sz w:val="18"/>
              </w:rPr>
              <w:t>]</w:t>
            </w:r>
            <w:r>
              <w:rPr>
                <w:b w:val="0"/>
                <w:color w:val="112534"/>
                <w:sz w:val="18"/>
              </w:rPr>
            </w:r>
          </w:p>
        </w:tc>
      </w:tr>
    </w:tbl>
    <w:p>
      <w:pPr>
        <w:spacing w:after="20"/>
      </w:pPr>
    </w:p>
    <w:p>
      <w:pPr>
        <w:pStyle w:val="Heading2"/>
      </w:pPr>
      <w:r>
        <w:t>Stroke and vascular workflow participants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Company / platform</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Relevant position</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Boundary</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Strategic implication</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Boston Scientific</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Cardiac intervention portfolio and announced Penumbra transaction</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Proposed portfolio expansion is not a completed acquisition</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 xml:space="preserve">Established firms increasingly span vascular territories </w:t>
            </w:r>
            <w:r>
              <w:rPr>
                <w:b w:val="0"/>
                <w:color w:val="112534"/>
                <w:sz w:val="18"/>
              </w:rPr>
              <w:t>[</w:t>
            </w:r>
            <w:hyperlink w:anchor="ref52">
              <w:r>
                <w:rPr>
                  <w:color w:val="205F68"/>
                  <w:sz w:val="19"/>
                </w:rPr>
                <w:t>52</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Penumbra</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Neurovascular and peripheral vascular intervention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Transaction status must remain current and explicit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Acute treatment workflow differs from chronic risk sensing </w:t>
            </w:r>
            <w:r>
              <w:rPr>
                <w:b w:val="0"/>
                <w:color w:val="112534"/>
                <w:sz w:val="18"/>
              </w:rPr>
              <w:t>[</w:t>
            </w:r>
            <w:hyperlink w:anchor="ref52">
              <w:r>
                <w:rPr>
                  <w:color w:val="205F68"/>
                  <w:sz w:val="19"/>
                </w:rPr>
                <w:t>52</w:t>
              </w:r>
            </w:hyperlink>
            <w:r>
              <w:rPr>
                <w:b w:val="0"/>
                <w:color w:val="112534"/>
                <w:sz w:val="18"/>
              </w:rPr>
              <w:t>]</w:t>
            </w:r>
            <w:r>
              <w:rPr>
                <w:b w:val="0"/>
                <w:color w:val="112534"/>
                <w:sz w:val="18"/>
              </w:rPr>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RapidAI</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Imaging and clinical workflow software across neurovascular care</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Product-specific clearances; not general population stroke prediction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 xml:space="preserve">Benchmark time-sensitive workflow integration </w:t>
            </w:r>
            <w:r>
              <w:rPr>
                <w:b w:val="0"/>
                <w:color w:val="112534"/>
                <w:sz w:val="18"/>
              </w:rPr>
              <w:t>[</w:t>
            </w:r>
            <w:hyperlink w:anchor="ref63">
              <w:r>
                <w:rPr>
                  <w:color w:val="205F68"/>
                  <w:sz w:val="19"/>
                </w:rPr>
                <w:t>63</w:t>
              </w:r>
            </w:hyperlink>
            <w:r>
              <w:rPr>
                <w:b w:val="0"/>
                <w:color w:val="112534"/>
                <w:sz w:val="18"/>
              </w:rPr>
              <w:t>]</w:t>
            </w:r>
            <w:r>
              <w:rPr>
                <w:b w:val="0"/>
                <w:color w:val="112534"/>
                <w:sz w:val="18"/>
              </w:rPr>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Viz.ai</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Neurovascular imaging and care-coordination platform</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The cited brochure documents offerings at publication, not an exhaustive 2026 product inventory</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 xml:space="preserve">Benchmark multidisciplinary coordination </w:t>
            </w:r>
            <w:r>
              <w:rPr>
                <w:b w:val="0"/>
                <w:color w:val="112534"/>
                <w:sz w:val="18"/>
              </w:rPr>
              <w:t>[</w:t>
            </w:r>
            <w:hyperlink w:anchor="ref64">
              <w:r>
                <w:rPr>
                  <w:color w:val="205F68"/>
                  <w:sz w:val="19"/>
                </w:rPr>
                <w:t>64</w:t>
              </w:r>
            </w:hyperlink>
            <w:r>
              <w:rPr>
                <w:b w:val="0"/>
                <w:color w:val="112534"/>
                <w:sz w:val="18"/>
              </w:rPr>
              <w:t>]</w:t>
            </w:r>
            <w:r>
              <w:rPr>
                <w:b w:val="0"/>
                <w:color w:val="112534"/>
                <w:sz w:val="18"/>
              </w:rPr>
            </w:r>
          </w:p>
        </w:tc>
      </w:tr>
    </w:tbl>
    <w:p>
      <w:pPr>
        <w:spacing w:after="20"/>
      </w:pPr>
    </w:p>
    <w:p>
      <w:r>
        <w:t>This map contains direct participants, adjacent participants, and possible partners; it is not a ranking of product quality or an assertion that all compete for the same buyer. Current product labels, geography, contracts, and interoperability would require diligence before procurement or integration.</w:t>
      </w:r>
    </w:p>
    <w:p>
      <w:pPr>
        <w:pStyle w:val="Heading2"/>
      </w:pPr>
      <w:r>
        <w:t>Where the gaps appear</w:t>
      </w:r>
    </w:p>
    <w:p>
      <w:r/>
      <w:r>
        <w:rPr>
          <w:b/>
        </w:rPr>
        <w:t>Across specialties:</w:t>
      </w:r>
      <w:r>
        <w:t xml:space="preserve"> the rhythm finding, stroke mechanism, cognitive concern, and autonomic symptoms may sit in different workflows. </w:t>
      </w:r>
      <w:r>
        <w:rPr>
          <w:b/>
        </w:rPr>
        <w:t>Across evidence levels:</w:t>
      </w:r>
      <w:r>
        <w:t xml:space="preserve"> mechanistic research, regulatory status, and clinical outcomes are often presented without clear separation. </w:t>
      </w:r>
      <w:r>
        <w:rPr>
          <w:b/>
        </w:rPr>
        <w:t>Across time:</w:t>
      </w:r>
      <w:r>
        <w:t xml:space="preserve"> acute events, rehabilitation, and long-term prevention are not naturally represented in one longitudinal model.</w:t>
      </w:r>
    </w:p>
    <w:p>
      <w:r>
        <w:t>These are plausible market needs inferred from the fragmented landscape, not completed customer discovery. Neurocardia should test which gap carries budget, urgency, and measurable consequences. A compelling educational Site can establish authority; a business requires a recurring problem a defined customer will pay to solve.</w:t>
      </w:r>
    </w:p>
    <w:p>
      <w:bookmarkStart w:id="16" w:name="ch16"/>
      <w:pPr>
        <w:pStyle w:val="Heading1"/>
        <w:pageBreakBefore w:val="0"/>
      </w:pPr>
      <w:r>
        <w:t>16 / Recent announcements and implications</w:t>
      </w:r>
      <w:bookmarkEnd w:id="16"/>
    </w:p>
    <w:p>
      <w:r/>
      <w:r>
        <w:rPr>
          <w:b/>
        </w:rPr>
        <w:t>Research cutoff: 29 September 2026.</w:t>
      </w:r>
      <w:r>
        <w:t xml:space="preserve"> Announced transactions, regulatory decisions, trial findings, and financings are different event types. Company and SEC disclosures below are used for status, not as independent proof of efficacy. Absence of a verified closing announcement is not proof that a transaction cannot have progressed.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4032"/>
        <w:gridCol w:w="4032"/>
      </w:tblGrid>
      <w:tr>
        <w:trPr>
          <w:cantSplit/>
          <w:tblHeader/>
        </w:trPr>
        <w:tc>
          <w:tcPr>
            <w:tcW w:type="dxa" w:w="2160"/>
            <w:vAlign w:val="center"/>
            <w:shd w:fill="173A4B"/>
            <w:tcMar>
              <w:top w:w="90" w:type="dxa"/>
              <w:bottom w:w="90" w:type="dxa"/>
              <w:left w:w="95" w:type="dxa"/>
              <w:right w:w="95" w:type="dxa"/>
            </w:tcMar>
          </w:tcPr>
          <w:p>
            <w:pPr>
              <w:keepNext/>
              <w:spacing w:after="0" w:line="257" w:lineRule="auto"/>
            </w:pPr>
            <w:r>
              <w:rPr>
                <w:b/>
                <w:color w:val="FFFFFF"/>
                <w:sz w:val="19"/>
              </w:rPr>
              <w:t>Date</w:t>
            </w:r>
          </w:p>
        </w:tc>
        <w:tc>
          <w:tcPr>
            <w:tcW w:type="dxa" w:w="4032"/>
            <w:vAlign w:val="center"/>
            <w:shd w:fill="173A4B"/>
            <w:tcMar>
              <w:top w:w="90" w:type="dxa"/>
              <w:bottom w:w="90" w:type="dxa"/>
              <w:left w:w="95" w:type="dxa"/>
              <w:right w:w="95" w:type="dxa"/>
            </w:tcMar>
          </w:tcPr>
          <w:p>
            <w:pPr>
              <w:keepNext/>
              <w:spacing w:after="0" w:line="257" w:lineRule="auto"/>
            </w:pPr>
            <w:r>
              <w:rPr>
                <w:b/>
                <w:color w:val="FFFFFF"/>
                <w:sz w:val="19"/>
              </w:rPr>
              <w:t>Verified event or disclosure</w:t>
            </w:r>
          </w:p>
        </w:tc>
        <w:tc>
          <w:tcPr>
            <w:tcW w:type="dxa" w:w="4032"/>
            <w:vAlign w:val="center"/>
            <w:shd w:fill="173A4B"/>
            <w:tcMar>
              <w:top w:w="90" w:type="dxa"/>
              <w:bottom w:w="90" w:type="dxa"/>
              <w:left w:w="95" w:type="dxa"/>
              <w:right w:w="95" w:type="dxa"/>
            </w:tcMar>
          </w:tcPr>
          <w:p>
            <w:pPr>
              <w:keepNext/>
              <w:spacing w:after="0" w:line="257" w:lineRule="auto"/>
            </w:pPr>
            <w:r>
              <w:rPr>
                <w:b/>
                <w:color w:val="FFFFFF"/>
                <w:sz w:val="19"/>
              </w:rPr>
              <w:t>Interpretation for Neurocardia</w:t>
            </w:r>
          </w:p>
        </w:tc>
      </w:tr>
      <w:tr>
        <w:trPr>
          <w:cantSplit/>
        </w:trPr>
        <w:tc>
          <w:tcPr>
            <w:tcW w:type="dxa" w:w="2160"/>
            <w:vAlign w:val="center"/>
            <w:shd w:fill="F0F5F5"/>
            <w:tcMar>
              <w:top w:w="90" w:type="dxa"/>
              <w:bottom w:w="90" w:type="dxa"/>
              <w:left w:w="95" w:type="dxa"/>
              <w:right w:w="95" w:type="dxa"/>
            </w:tcMar>
          </w:tcPr>
          <w:p>
            <w:pPr>
              <w:keepNext/>
              <w:spacing w:after="0" w:line="257" w:lineRule="auto"/>
            </w:pPr>
            <w:r>
              <w:rPr>
                <w:b w:val="0"/>
                <w:color w:val="112534"/>
                <w:sz w:val="19"/>
              </w:rPr>
              <w:t>21 April 2025</w:t>
            </w:r>
          </w:p>
        </w:tc>
        <w:tc>
          <w:tcPr>
            <w:tcW w:type="dxa" w:w="4032"/>
            <w:vAlign w:val="center"/>
            <w:shd w:fill="F0F5F5"/>
            <w:tcMar>
              <w:top w:w="90" w:type="dxa"/>
              <w:bottom w:w="90" w:type="dxa"/>
              <w:left w:w="95" w:type="dxa"/>
              <w:right w:w="95" w:type="dxa"/>
            </w:tcMar>
          </w:tcPr>
          <w:p>
            <w:pPr>
              <w:keepNext/>
              <w:spacing w:after="0" w:line="257" w:lineRule="auto"/>
            </w:pPr>
            <w:r>
              <w:rPr>
                <w:b w:val="0"/>
                <w:color w:val="112534"/>
                <w:sz w:val="19"/>
              </w:rPr>
              <w:t>A cluster-randomized hypertension intervention reported lower dementia incidence in rural China</w:t>
            </w:r>
          </w:p>
        </w:tc>
        <w:tc>
          <w:tcPr>
            <w:tcW w:type="dxa" w:w="4032"/>
            <w:vAlign w:val="center"/>
            <w:shd w:fill="F0F5F5"/>
            <w:tcMar>
              <w:top w:w="90" w:type="dxa"/>
              <w:bottom w:w="90" w:type="dxa"/>
              <w:left w:w="95" w:type="dxa"/>
              <w:right w:w="95" w:type="dxa"/>
            </w:tcMar>
          </w:tcPr>
          <w:p>
            <w:pPr>
              <w:keepNext/>
              <w:spacing w:after="0" w:line="257" w:lineRule="auto"/>
            </w:pPr>
            <w:r>
              <w:rPr>
                <w:b w:val="0"/>
                <w:color w:val="112534"/>
                <w:sz w:val="19"/>
              </w:rPr>
              <w:t xml:space="preserve">Strong reason to connect blood-pressure care and brain-health outcomes, with population and implementation context </w:t>
            </w:r>
            <w:r>
              <w:rPr>
                <w:b w:val="0"/>
                <w:color w:val="112534"/>
                <w:sz w:val="19"/>
              </w:rPr>
              <w:t>[</w:t>
            </w:r>
            <w:hyperlink w:anchor="ref19">
              <w:r>
                <w:rPr>
                  <w:color w:val="205F68"/>
                  <w:sz w:val="19"/>
                </w:rPr>
                <w:t>19</w:t>
              </w:r>
            </w:hyperlink>
            <w:r>
              <w:rPr>
                <w:b w:val="0"/>
                <w:color w:val="112534"/>
                <w:sz w:val="19"/>
              </w:rPr>
              <w:t>]</w:t>
            </w:r>
            <w:r>
              <w:rPr>
                <w:b w:val="0"/>
                <w:color w:val="112534"/>
                <w:sz w:val="19"/>
              </w:rPr>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30 July 2025</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FDA approved the SetPoint System for a specified rheumatoid-arthritis indication</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 xml:space="preserve">Bioelectronic treatment has a regulated neuroimmune precedent outside cardiology </w:t>
            </w:r>
            <w:r>
              <w:rPr>
                <w:b w:val="0"/>
                <w:color w:val="112534"/>
                <w:sz w:val="19"/>
              </w:rPr>
              <w:t>[</w:t>
            </w:r>
            <w:hyperlink w:anchor="ref46">
              <w:r>
                <w:rPr>
                  <w:color w:val="205F68"/>
                  <w:sz w:val="19"/>
                </w:rPr>
                <w:t>46</w:t>
              </w:r>
            </w:hyperlink>
            <w:r>
              <w:rPr>
                <w:b w:val="0"/>
                <w:color w:val="112534"/>
                <w:sz w:val="19"/>
              </w:rPr>
              <w:t>]</w:t>
            </w:r>
            <w:r>
              <w:rPr>
                <w:b w:val="0"/>
                <w:color w:val="112534"/>
                <w:sz w:val="19"/>
              </w:rPr>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2025 FDA record</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Apple hypertension-notification feature received clearance</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 xml:space="preserve">Consumer signals increasingly initiate clinical follow-up; confirmation and workflow matter </w:t>
            </w:r>
            <w:r>
              <w:rPr>
                <w:b w:val="0"/>
                <w:color w:val="112534"/>
                <w:sz w:val="19"/>
              </w:rPr>
              <w:t>[</w:t>
            </w:r>
            <w:hyperlink w:anchor="ref53">
              <w:r>
                <w:rPr>
                  <w:color w:val="205F68"/>
                  <w:sz w:val="19"/>
                </w:rPr>
                <w:t>53</w:t>
              </w:r>
            </w:hyperlink>
            <w:r>
              <w:rPr>
                <w:b w:val="0"/>
                <w:color w:val="112534"/>
                <w:sz w:val="19"/>
              </w:rPr>
              <w:t>]</w:t>
            </w:r>
            <w:r>
              <w:rPr>
                <w:b w:val="0"/>
                <w:color w:val="112534"/>
                <w:sz w:val="19"/>
              </w:rPr>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28 October 2025 effective date</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Medicare renal-denervation coverage under evidence-development conditions</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 xml:space="preserve">A neural cardiovascular procedure has a defined but conditional U.S. access pathway </w:t>
            </w:r>
            <w:r>
              <w:rPr>
                <w:b w:val="0"/>
                <w:color w:val="112534"/>
                <w:sz w:val="19"/>
              </w:rPr>
              <w:t>[</w:t>
            </w:r>
            <w:hyperlink w:anchor="ref25">
              <w:r>
                <w:rPr>
                  <w:color w:val="205F68"/>
                  <w:sz w:val="19"/>
                </w:rPr>
                <w:t>25</w:t>
              </w:r>
            </w:hyperlink>
            <w:r>
              <w:rPr>
                <w:b w:val="0"/>
                <w:color w:val="112534"/>
                <w:sz w:val="19"/>
              </w:rPr>
              <w:t>]</w:t>
            </w:r>
            <w:r>
              <w:rPr>
                <w:b w:val="0"/>
                <w:color w:val="112534"/>
                <w:sz w:val="19"/>
              </w:rPr>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15 January 2026 announcement; Q2 update</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Boston Scientific announced a roughly $14.5 billion Penumbra transaction; the SEC update described regulatory review and expected second-half closing</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 xml:space="preserve">Potential cardiac–neurovascular portfolio convergence; closing was not confirmed in this review </w:t>
            </w:r>
            <w:r>
              <w:rPr>
                <w:b w:val="0"/>
                <w:color w:val="112534"/>
                <w:sz w:val="19"/>
              </w:rPr>
              <w:t>[</w:t>
            </w:r>
            <w:hyperlink w:anchor="ref52">
              <w:r>
                <w:rPr>
                  <w:color w:val="205F68"/>
                  <w:sz w:val="19"/>
                </w:rPr>
                <w:t>52</w:t>
              </w:r>
            </w:hyperlink>
            <w:r>
              <w:rPr>
                <w:b w:val="0"/>
                <w:color w:val="112534"/>
                <w:sz w:val="19"/>
              </w:rPr>
              <w:t>]</w:t>
            </w:r>
            <w:r>
              <w:rPr>
                <w:b w:val="0"/>
                <w:color w:val="112534"/>
                <w:sz w:val="19"/>
              </w:rPr>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1–2 March 2026</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Recor announced Japanese reimbursement and commercial launch for Paradise</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 xml:space="preserve">Geographic market access is advancing independently of U.S. coverage conditions </w:t>
            </w:r>
            <w:r>
              <w:rPr>
                <w:b w:val="0"/>
                <w:color w:val="112534"/>
                <w:sz w:val="19"/>
              </w:rPr>
              <w:t>[</w:t>
            </w:r>
            <w:hyperlink w:anchor="ref68">
              <w:r>
                <w:rPr>
                  <w:color w:val="205F68"/>
                  <w:sz w:val="19"/>
                </w:rPr>
                <w:t>68</w:t>
              </w:r>
            </w:hyperlink>
            <w:r>
              <w:rPr>
                <w:b w:val="0"/>
                <w:color w:val="112534"/>
                <w:sz w:val="19"/>
              </w:rPr>
              <w:t>]</w:t>
            </w:r>
            <w:r>
              <w:rPr>
                <w:b w:val="0"/>
                <w:color w:val="112534"/>
                <w:sz w:val="19"/>
              </w:rPr>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28 March 2026</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CHAMPION-AF publication compared appendage closure with anticoagulation</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 xml:space="preserve">A treatment-evidence milestone; do not automatically assume expanded regulatory labeling </w:t>
            </w:r>
            <w:r>
              <w:rPr>
                <w:b w:val="0"/>
                <w:color w:val="112534"/>
                <w:sz w:val="19"/>
              </w:rPr>
              <w:t>[</w:t>
            </w:r>
            <w:hyperlink w:anchor="ref13">
              <w:r>
                <w:rPr>
                  <w:color w:val="205F68"/>
                  <w:sz w:val="19"/>
                </w:rPr>
                <w:t>13</w:t>
              </w:r>
            </w:hyperlink>
            <w:r>
              <w:rPr>
                <w:b w:val="0"/>
                <w:color w:val="112534"/>
                <w:sz w:val="19"/>
              </w:rPr>
              <w:t>]</w:t>
            </w:r>
            <w:r>
              <w:rPr>
                <w:b w:val="0"/>
                <w:color w:val="112534"/>
                <w:sz w:val="19"/>
              </w:rPr>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7 May 2026 pricing; subsequent SEC confirmation</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Mobia priced a $150 million gross IPO; the later filing confirmed completion</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 xml:space="preserve">Stroke rehabilitation neuromodulation has public-market visibility; proceeds are not category revenue </w:t>
            </w:r>
            <w:r>
              <w:rPr>
                <w:b w:val="0"/>
                <w:color w:val="112534"/>
                <w:sz w:val="19"/>
              </w:rPr>
              <w:t>[</w:t>
            </w:r>
            <w:hyperlink w:anchor="ref48">
              <w:r>
                <w:rPr>
                  <w:color w:val="205F68"/>
                  <w:sz w:val="19"/>
                </w:rPr>
                <w:t>48</w:t>
              </w:r>
            </w:hyperlink>
            <w:r>
              <w:rPr>
                <w:b w:val="0"/>
                <w:color w:val="112534"/>
                <w:sz w:val="19"/>
              </w:rPr>
              <w:t xml:space="preserve">, </w:t>
            </w:r>
            <w:hyperlink w:anchor="ref49">
              <w:r>
                <w:rPr>
                  <w:color w:val="205F68"/>
                  <w:sz w:val="19"/>
                </w:rPr>
                <w:t>49</w:t>
              </w:r>
            </w:hyperlink>
            <w:r>
              <w:rPr>
                <w:b w:val="0"/>
                <w:color w:val="112534"/>
                <w:sz w:val="19"/>
              </w:rPr>
              <w:t>]</w:t>
            </w:r>
            <w:r>
              <w:rPr>
                <w:b w:val="0"/>
                <w:color w:val="112534"/>
                <w:sz w:val="19"/>
              </w:rPr>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28 July 2026</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Aurenar announced $5.7 million seed financing for its neurocritical-care vagus-stimulation program</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 xml:space="preserve">Early capital supports a specific neuroimmune hypothesis, not established clinical efficacy </w:t>
            </w:r>
            <w:r>
              <w:rPr>
                <w:b w:val="0"/>
                <w:color w:val="112534"/>
                <w:sz w:val="19"/>
              </w:rPr>
              <w:t>[</w:t>
            </w:r>
            <w:hyperlink w:anchor="ref50">
              <w:r>
                <w:rPr>
                  <w:color w:val="205F68"/>
                  <w:sz w:val="19"/>
                </w:rPr>
                <w:t>50</w:t>
              </w:r>
            </w:hyperlink>
            <w:r>
              <w:rPr>
                <w:b w:val="0"/>
                <w:color w:val="112534"/>
                <w:sz w:val="19"/>
              </w:rPr>
              <w:t>]</w:t>
            </w:r>
            <w:r>
              <w:rPr>
                <w:b w:val="0"/>
                <w:color w:val="112534"/>
                <w:sz w:val="19"/>
              </w:rPr>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6 August 2026</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iRhythm announced an agreement to acquire VitalConnect for approximately $287.5 million, with closing expected by year-end</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 xml:space="preserve">Potential expansion from rhythm into multiparameter care; agreement remained distinct from verified completion </w:t>
            </w:r>
            <w:r>
              <w:rPr>
                <w:b w:val="0"/>
                <w:color w:val="112534"/>
                <w:sz w:val="19"/>
              </w:rPr>
              <w:t>[</w:t>
            </w:r>
            <w:hyperlink w:anchor="ref51">
              <w:r>
                <w:rPr>
                  <w:color w:val="205F68"/>
                  <w:sz w:val="19"/>
                </w:rPr>
                <w:t>51</w:t>
              </w:r>
            </w:hyperlink>
            <w:r>
              <w:rPr>
                <w:b w:val="0"/>
                <w:color w:val="112534"/>
                <w:sz w:val="19"/>
              </w:rPr>
              <w:t>]</w:t>
            </w:r>
            <w:r>
              <w:rPr>
                <w:b w:val="0"/>
                <w:color w:val="112534"/>
                <w:sz w:val="19"/>
              </w:rPr>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August 2026 reporting</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CVRx reported commercial growth alongside payer and productivity challenges</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 xml:space="preserve">Real demand and difficult adoption economics can coexist </w:t>
            </w:r>
            <w:r>
              <w:rPr>
                <w:b w:val="0"/>
                <w:color w:val="112534"/>
                <w:sz w:val="19"/>
              </w:rPr>
              <w:t>[</w:t>
            </w:r>
            <w:hyperlink w:anchor="ref26">
              <w:r>
                <w:rPr>
                  <w:color w:val="205F68"/>
                  <w:sz w:val="19"/>
                </w:rPr>
                <w:t>26</w:t>
              </w:r>
            </w:hyperlink>
            <w:r>
              <w:rPr>
                <w:b w:val="0"/>
                <w:color w:val="112534"/>
                <w:sz w:val="19"/>
              </w:rPr>
              <w:t>]</w:t>
            </w:r>
            <w:r>
              <w:rPr>
                <w:b w:val="0"/>
                <w:color w:val="112534"/>
                <w:sz w:val="19"/>
              </w:rPr>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2026 annual report</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Nyrada reported early clinical development of Xolatryp and a myocardial-infarction program</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 xml:space="preserve">Cross-organ injury biology is investable, but clinical benefit remains to be established </w:t>
            </w:r>
            <w:r>
              <w:rPr>
                <w:b w:val="0"/>
                <w:color w:val="112534"/>
                <w:sz w:val="19"/>
              </w:rPr>
              <w:t>[</w:t>
            </w:r>
            <w:hyperlink w:anchor="ref57">
              <w:r>
                <w:rPr>
                  <w:color w:val="205F68"/>
                  <w:sz w:val="19"/>
                </w:rPr>
                <w:t>57</w:t>
              </w:r>
            </w:hyperlink>
            <w:r>
              <w:rPr>
                <w:b w:val="0"/>
                <w:color w:val="112534"/>
                <w:sz w:val="19"/>
              </w:rPr>
              <w:t>]</w:t>
            </w:r>
            <w:r>
              <w:rPr>
                <w:b w:val="0"/>
                <w:color w:val="112534"/>
                <w:sz w:val="19"/>
              </w:rPr>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2026 scientific publications</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New studies described specific blood-volume sensing and a heart–brain neuroimmune circuit</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 xml:space="preserve">Discovery is becoming more anatomically and mechanistically precise; translation remains the task </w:t>
            </w:r>
            <w:r>
              <w:rPr>
                <w:b w:val="0"/>
                <w:color w:val="112534"/>
                <w:sz w:val="19"/>
              </w:rPr>
              <w:t>[</w:t>
            </w:r>
            <w:hyperlink w:anchor="ref34">
              <w:r>
                <w:rPr>
                  <w:color w:val="205F68"/>
                  <w:sz w:val="19"/>
                </w:rPr>
                <w:t>34</w:t>
              </w:r>
            </w:hyperlink>
            <w:r>
              <w:rPr>
                <w:b w:val="0"/>
                <w:color w:val="112534"/>
                <w:sz w:val="19"/>
              </w:rPr>
              <w:t xml:space="preserve">, </w:t>
            </w:r>
            <w:hyperlink w:anchor="ref47">
              <w:r>
                <w:rPr>
                  <w:color w:val="205F68"/>
                  <w:sz w:val="19"/>
                </w:rPr>
                <w:t>47</w:t>
              </w:r>
            </w:hyperlink>
            <w:r>
              <w:rPr>
                <w:b w:val="0"/>
                <w:color w:val="112534"/>
                <w:sz w:val="19"/>
              </w:rPr>
              <w:t>]</w:t>
            </w:r>
            <w:r>
              <w:rPr>
                <w:b w:val="0"/>
                <w:color w:val="112534"/>
                <w:sz w:val="19"/>
              </w:rPr>
            </w:r>
          </w:p>
        </w:tc>
      </w:tr>
    </w:tbl>
    <w:p>
      <w:pPr>
        <w:spacing w:after="20"/>
      </w:pPr>
    </w:p>
    <w:p>
      <w:pPr>
        <w:pStyle w:val="Heading2"/>
      </w:pPr>
      <w:r>
        <w:t>Five market implications</w:t>
      </w:r>
    </w:p>
    <w:p>
      <w:r>
        <w:t>First, integration is occurring through acquisitions and workflow expansion as well as new inventions. Second, neuromodulation needs indication-specific evidence and delivery infrastructure. Third, at-home signals are becoming more accessible, but clinical interpretation and longitudinal alignment remain difficult. Fourth, coverage decisions can be as consequential as technical performance. Fifth, mechanistic specificity is creating research opportunities that should not yet be marketed as finished therapies.</w:t>
      </w:r>
    </w:p>
    <w:p>
      <w:r>
        <w:t xml:space="preserve">The Site should therefore maintain a dated milestone ledger with four separate labels: </w:t>
      </w:r>
      <w:r>
        <w:rPr>
          <w:b/>
        </w:rPr>
        <w:t>announced</w:t>
      </w:r>
      <w:r>
        <w:t xml:space="preserve">, </w:t>
      </w:r>
      <w:r>
        <w:rPr>
          <w:b/>
        </w:rPr>
        <w:t>completed</w:t>
      </w:r>
      <w:r>
        <w:t xml:space="preserve">, </w:t>
      </w:r>
      <w:r>
        <w:rPr>
          <w:b/>
        </w:rPr>
        <w:t>regulatory decision</w:t>
      </w:r>
      <w:r>
        <w:t xml:space="preserve">, and </w:t>
      </w:r>
      <w:r>
        <w:rPr>
          <w:b/>
        </w:rPr>
        <w:t>study result</w:t>
      </w:r>
      <w:r>
        <w:t>. A financing badge must never visually resemble a clinical-evidence badge.</w:t>
      </w:r>
    </w:p>
    <w:p>
      <w:bookmarkStart w:id="17" w:name="ch17"/>
      <w:pPr>
        <w:pStyle w:val="Heading1"/>
        <w:pageBreakBefore w:val="0"/>
      </w:pPr>
      <w:r>
        <w:t>17 / Ranked opportunities for Neurocardia</w:t>
      </w:r>
      <w:bookmarkEnd w:id="17"/>
    </w:p>
    <w:p>
      <w:pPr>
        <w:pStyle w:val="Heading2"/>
      </w:pPr>
      <w:r>
        <w:t>A disciplined entry point</w:t>
      </w:r>
    </w:p>
    <w:p>
      <w:r>
        <w:t xml:space="preserve">The recommended entry is an </w:t>
      </w:r>
      <w:r>
        <w:rPr>
          <w:b/>
        </w:rPr>
        <w:t>evidence-led discovery and research platform</w:t>
      </w:r>
      <w:r>
        <w:t>, followed by one partner-led workflow pilot. Neurocardia should earn trust by making the connections understandable before claiming to predict disease or recommend treatment.</w:t>
      </w:r>
    </w:p>
    <w:p>
      <w:r>
        <w:t>The ranking below is analyst judgment, not a market survey. Scores run from 1 to 5, with higher values favorable. Weighting: unmet need 25%, evidence readiness (Proof) 25%, buyer clarity 20%, feasibility (Ease) 20%, and differentiation (Edge) 10%. Weighted totals are rounded to one decimal. “Feasibility” includes operational and validation burden, not just software development.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31"/>
        <w:gridCol w:w="936"/>
        <w:gridCol w:w="1037"/>
        <w:gridCol w:w="950"/>
        <w:gridCol w:w="1166"/>
        <w:gridCol w:w="1166"/>
        <w:gridCol w:w="1037"/>
      </w:tblGrid>
      <w:tr>
        <w:trPr>
          <w:cantSplit/>
          <w:tblHeader/>
        </w:trPr>
        <w:tc>
          <w:tcPr>
            <w:tcW w:type="dxa" w:w="3931"/>
            <w:vAlign w:val="center"/>
            <w:shd w:fill="173A4B"/>
            <w:tcMar>
              <w:top w:w="90" w:type="dxa"/>
              <w:bottom w:w="90" w:type="dxa"/>
              <w:left w:w="95" w:type="dxa"/>
              <w:right w:w="95" w:type="dxa"/>
            </w:tcMar>
          </w:tcPr>
          <w:p>
            <w:pPr>
              <w:keepNext/>
              <w:spacing w:after="0" w:line="257" w:lineRule="auto"/>
            </w:pPr>
            <w:r>
              <w:rPr>
                <w:b/>
                <w:color w:val="FFFFFF"/>
                <w:sz w:val="18"/>
              </w:rPr>
              <w:t>Opportunity</w:t>
            </w:r>
          </w:p>
        </w:tc>
        <w:tc>
          <w:tcPr>
            <w:tcW w:type="dxa" w:w="936"/>
            <w:vAlign w:val="center"/>
            <w:shd w:fill="173A4B"/>
            <w:tcMar>
              <w:top w:w="90" w:type="dxa"/>
              <w:bottom w:w="90" w:type="dxa"/>
              <w:left w:w="95" w:type="dxa"/>
              <w:right w:w="95" w:type="dxa"/>
            </w:tcMar>
          </w:tcPr>
          <w:p>
            <w:pPr>
              <w:keepNext/>
              <w:spacing w:after="0" w:line="257" w:lineRule="auto"/>
            </w:pPr>
            <w:r>
              <w:rPr>
                <w:b/>
                <w:color w:val="FFFFFF"/>
                <w:sz w:val="18"/>
              </w:rPr>
              <w:t>Need</w:t>
            </w:r>
          </w:p>
        </w:tc>
        <w:tc>
          <w:tcPr>
            <w:tcW w:type="dxa" w:w="1037"/>
            <w:vAlign w:val="center"/>
            <w:shd w:fill="173A4B"/>
            <w:tcMar>
              <w:top w:w="90" w:type="dxa"/>
              <w:bottom w:w="90" w:type="dxa"/>
              <w:left w:w="95" w:type="dxa"/>
              <w:right w:w="95" w:type="dxa"/>
            </w:tcMar>
          </w:tcPr>
          <w:p>
            <w:pPr>
              <w:keepNext/>
              <w:spacing w:after="0" w:line="257" w:lineRule="auto"/>
            </w:pPr>
            <w:r>
              <w:rPr>
                <w:b/>
                <w:color w:val="FFFFFF"/>
                <w:sz w:val="18"/>
              </w:rPr>
              <w:t>Proof</w:t>
            </w:r>
          </w:p>
        </w:tc>
        <w:tc>
          <w:tcPr>
            <w:tcW w:type="dxa" w:w="950"/>
            <w:vAlign w:val="center"/>
            <w:shd w:fill="173A4B"/>
            <w:tcMar>
              <w:top w:w="90" w:type="dxa"/>
              <w:bottom w:w="90" w:type="dxa"/>
              <w:left w:w="95" w:type="dxa"/>
              <w:right w:w="95" w:type="dxa"/>
            </w:tcMar>
          </w:tcPr>
          <w:p>
            <w:pPr>
              <w:keepNext/>
              <w:spacing w:after="0" w:line="257" w:lineRule="auto"/>
            </w:pPr>
            <w:r>
              <w:rPr>
                <w:b/>
                <w:color w:val="FFFFFF"/>
                <w:sz w:val="18"/>
              </w:rPr>
              <w:t>Buyer</w:t>
            </w:r>
          </w:p>
        </w:tc>
        <w:tc>
          <w:tcPr>
            <w:tcW w:type="dxa" w:w="1166"/>
            <w:vAlign w:val="center"/>
            <w:shd w:fill="173A4B"/>
            <w:tcMar>
              <w:top w:w="90" w:type="dxa"/>
              <w:bottom w:w="90" w:type="dxa"/>
              <w:left w:w="95" w:type="dxa"/>
              <w:right w:w="95" w:type="dxa"/>
            </w:tcMar>
          </w:tcPr>
          <w:p>
            <w:pPr>
              <w:keepNext/>
              <w:spacing w:after="0" w:line="257" w:lineRule="auto"/>
            </w:pPr>
            <w:r>
              <w:rPr>
                <w:b/>
                <w:color w:val="FFFFFF"/>
                <w:sz w:val="18"/>
              </w:rPr>
              <w:t>Ease</w:t>
            </w:r>
          </w:p>
        </w:tc>
        <w:tc>
          <w:tcPr>
            <w:tcW w:type="dxa" w:w="1166"/>
            <w:vAlign w:val="center"/>
            <w:shd w:fill="173A4B"/>
            <w:tcMar>
              <w:top w:w="90" w:type="dxa"/>
              <w:bottom w:w="90" w:type="dxa"/>
              <w:left w:w="95" w:type="dxa"/>
              <w:right w:w="95" w:type="dxa"/>
            </w:tcMar>
          </w:tcPr>
          <w:p>
            <w:pPr>
              <w:keepNext/>
              <w:spacing w:after="0" w:line="257" w:lineRule="auto"/>
            </w:pPr>
            <w:r>
              <w:rPr>
                <w:b/>
                <w:color w:val="FFFFFF"/>
                <w:sz w:val="18"/>
              </w:rPr>
              <w:t>Edge</w:t>
            </w:r>
          </w:p>
        </w:tc>
        <w:tc>
          <w:tcPr>
            <w:tcW w:type="dxa" w:w="1037"/>
            <w:vAlign w:val="center"/>
            <w:shd w:fill="173A4B"/>
            <w:tcMar>
              <w:top w:w="90" w:type="dxa"/>
              <w:bottom w:w="90" w:type="dxa"/>
              <w:left w:w="95" w:type="dxa"/>
              <w:right w:w="95" w:type="dxa"/>
            </w:tcMar>
          </w:tcPr>
          <w:p>
            <w:pPr>
              <w:keepNext/>
              <w:spacing w:after="0" w:line="257" w:lineRule="auto"/>
            </w:pPr>
            <w:r>
              <w:rPr>
                <w:b/>
                <w:color w:val="FFFFFF"/>
                <w:sz w:val="18"/>
              </w:rPr>
              <w:t>Score</w:t>
            </w:r>
          </w:p>
        </w:tc>
      </w:tr>
      <w:tr>
        <w:trPr>
          <w:cantSplit/>
        </w:trPr>
        <w:tc>
          <w:tcPr>
            <w:tcW w:type="dxa" w:w="3931"/>
            <w:vAlign w:val="center"/>
            <w:shd w:fill="F0F5F5"/>
            <w:tcMar>
              <w:top w:w="90" w:type="dxa"/>
              <w:bottom w:w="90" w:type="dxa"/>
              <w:left w:w="95" w:type="dxa"/>
              <w:right w:w="95" w:type="dxa"/>
            </w:tcMar>
          </w:tcPr>
          <w:p>
            <w:pPr>
              <w:keepNext/>
              <w:spacing w:after="0" w:line="257" w:lineRule="auto"/>
            </w:pPr>
            <w:r>
              <w:rPr>
                <w:b w:val="0"/>
                <w:color w:val="112534"/>
                <w:sz w:val="18"/>
              </w:rPr>
              <w:t>Post-stroke rhythm follow-through and evidence navigation</w:t>
            </w:r>
          </w:p>
        </w:tc>
        <w:tc>
          <w:tcPr>
            <w:tcW w:type="dxa" w:w="936"/>
            <w:vAlign w:val="center"/>
            <w:shd w:fill="F0F5F5"/>
            <w:tcMar>
              <w:top w:w="90" w:type="dxa"/>
              <w:bottom w:w="90" w:type="dxa"/>
              <w:left w:w="95" w:type="dxa"/>
              <w:right w:w="95" w:type="dxa"/>
            </w:tcMar>
          </w:tcPr>
          <w:p>
            <w:pPr>
              <w:keepNext/>
              <w:spacing w:after="0" w:line="257" w:lineRule="auto"/>
            </w:pPr>
            <w:r>
              <w:rPr>
                <w:b w:val="0"/>
                <w:color w:val="112534"/>
                <w:sz w:val="18"/>
              </w:rPr>
              <w:t>5</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4</w:t>
            </w:r>
          </w:p>
        </w:tc>
        <w:tc>
          <w:tcPr>
            <w:tcW w:type="dxa" w:w="950"/>
            <w:vAlign w:val="center"/>
            <w:shd w:fill="F0F5F5"/>
            <w:tcMar>
              <w:top w:w="90" w:type="dxa"/>
              <w:bottom w:w="90" w:type="dxa"/>
              <w:left w:w="95" w:type="dxa"/>
              <w:right w:w="95" w:type="dxa"/>
            </w:tcMar>
          </w:tcPr>
          <w:p>
            <w:pPr>
              <w:keepNext/>
              <w:spacing w:after="0" w:line="257" w:lineRule="auto"/>
            </w:pPr>
            <w:r>
              <w:rPr>
                <w:b w:val="0"/>
                <w:color w:val="112534"/>
                <w:sz w:val="18"/>
              </w:rPr>
              <w:t>4</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4</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3</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4.2</w:t>
            </w:r>
          </w:p>
        </w:tc>
      </w:tr>
      <w:tr>
        <w:trPr>
          <w:cantSplit/>
        </w:trPr>
        <w:tc>
          <w:tcPr>
            <w:tcW w:type="dxa" w:w="3931"/>
            <w:vAlign w:val="center"/>
            <w:shd w:fill="FFFFFF"/>
            <w:tcMar>
              <w:top w:w="90" w:type="dxa"/>
              <w:bottom w:w="90" w:type="dxa"/>
              <w:left w:w="95" w:type="dxa"/>
              <w:right w:w="95" w:type="dxa"/>
            </w:tcMar>
          </w:tcPr>
          <w:p>
            <w:pPr>
              <w:keepNext/>
              <w:spacing w:after="0" w:line="257" w:lineRule="auto"/>
            </w:pPr>
            <w:r>
              <w:rPr>
                <w:b w:val="0"/>
                <w:color w:val="112534"/>
                <w:sz w:val="18"/>
              </w:rPr>
              <w:t>BP-to-brain-health pathway and implementation research</w:t>
            </w:r>
          </w:p>
        </w:tc>
        <w:tc>
          <w:tcPr>
            <w:tcW w:type="dxa" w:w="936"/>
            <w:vAlign w:val="center"/>
            <w:shd w:fill="FFFFFF"/>
            <w:tcMar>
              <w:top w:w="90" w:type="dxa"/>
              <w:bottom w:w="90" w:type="dxa"/>
              <w:left w:w="95" w:type="dxa"/>
              <w:right w:w="95" w:type="dxa"/>
            </w:tcMar>
          </w:tcPr>
          <w:p>
            <w:pPr>
              <w:keepNext/>
              <w:spacing w:after="0" w:line="257" w:lineRule="auto"/>
            </w:pPr>
            <w:r>
              <w:rPr>
                <w:b w:val="0"/>
                <w:color w:val="112534"/>
                <w:sz w:val="18"/>
              </w:rPr>
              <w:t>5</w:t>
            </w:r>
          </w:p>
        </w:tc>
        <w:tc>
          <w:tcPr>
            <w:tcW w:type="dxa" w:w="1037"/>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950"/>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1166"/>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1166"/>
            <w:vAlign w:val="center"/>
            <w:shd w:fill="FFFFFF"/>
            <w:tcMar>
              <w:top w:w="90" w:type="dxa"/>
              <w:bottom w:w="90" w:type="dxa"/>
              <w:left w:w="95" w:type="dxa"/>
              <w:right w:w="95" w:type="dxa"/>
            </w:tcMar>
          </w:tcPr>
          <w:p>
            <w:pPr>
              <w:keepNext/>
              <w:spacing w:after="0" w:line="257" w:lineRule="auto"/>
            </w:pPr>
            <w:r>
              <w:rPr>
                <w:b w:val="0"/>
                <w:color w:val="112534"/>
                <w:sz w:val="18"/>
              </w:rPr>
              <w:t>3</w:t>
            </w:r>
          </w:p>
        </w:tc>
        <w:tc>
          <w:tcPr>
            <w:tcW w:type="dxa" w:w="1037"/>
            <w:vAlign w:val="center"/>
            <w:shd w:fill="FFFFFF"/>
            <w:tcMar>
              <w:top w:w="90" w:type="dxa"/>
              <w:bottom w:w="90" w:type="dxa"/>
              <w:left w:w="95" w:type="dxa"/>
              <w:right w:w="95" w:type="dxa"/>
            </w:tcMar>
          </w:tcPr>
          <w:p>
            <w:pPr>
              <w:keepNext/>
              <w:spacing w:after="0" w:line="257" w:lineRule="auto"/>
            </w:pPr>
            <w:r>
              <w:rPr>
                <w:b w:val="0"/>
                <w:color w:val="112534"/>
                <w:sz w:val="18"/>
              </w:rPr>
              <w:t>4.2</w:t>
            </w:r>
          </w:p>
        </w:tc>
      </w:tr>
      <w:tr>
        <w:trPr>
          <w:cantSplit/>
        </w:trPr>
        <w:tc>
          <w:tcPr>
            <w:tcW w:type="dxa" w:w="3931"/>
            <w:vAlign w:val="center"/>
            <w:shd w:fill="F0F5F5"/>
            <w:tcMar>
              <w:top w:w="90" w:type="dxa"/>
              <w:bottom w:w="90" w:type="dxa"/>
              <w:left w:w="95" w:type="dxa"/>
              <w:right w:w="95" w:type="dxa"/>
            </w:tcMar>
          </w:tcPr>
          <w:p>
            <w:pPr>
              <w:keepNext/>
              <w:spacing w:after="0" w:line="257" w:lineRule="auto"/>
            </w:pPr>
            <w:r>
              <w:rPr>
                <w:b w:val="0"/>
                <w:color w:val="112534"/>
                <w:sz w:val="18"/>
              </w:rPr>
              <w:t>Multimodal research and trial-phenotyping workspace</w:t>
            </w:r>
          </w:p>
        </w:tc>
        <w:tc>
          <w:tcPr>
            <w:tcW w:type="dxa" w:w="936"/>
            <w:vAlign w:val="center"/>
            <w:shd w:fill="F0F5F5"/>
            <w:tcMar>
              <w:top w:w="90" w:type="dxa"/>
              <w:bottom w:w="90" w:type="dxa"/>
              <w:left w:w="95" w:type="dxa"/>
              <w:right w:w="95" w:type="dxa"/>
            </w:tcMar>
          </w:tcPr>
          <w:p>
            <w:pPr>
              <w:keepNext/>
              <w:spacing w:after="0" w:line="257" w:lineRule="auto"/>
            </w:pPr>
            <w:r>
              <w:rPr>
                <w:b w:val="0"/>
                <w:color w:val="112534"/>
                <w:sz w:val="18"/>
              </w:rPr>
              <w:t>4</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3</w:t>
            </w:r>
          </w:p>
        </w:tc>
        <w:tc>
          <w:tcPr>
            <w:tcW w:type="dxa" w:w="950"/>
            <w:vAlign w:val="center"/>
            <w:shd w:fill="F0F5F5"/>
            <w:tcMar>
              <w:top w:w="90" w:type="dxa"/>
              <w:bottom w:w="90" w:type="dxa"/>
              <w:left w:w="95" w:type="dxa"/>
              <w:right w:w="95" w:type="dxa"/>
            </w:tcMar>
          </w:tcPr>
          <w:p>
            <w:pPr>
              <w:keepNext/>
              <w:spacing w:after="0" w:line="257" w:lineRule="auto"/>
            </w:pPr>
            <w:r>
              <w:rPr>
                <w:b w:val="0"/>
                <w:color w:val="112534"/>
                <w:sz w:val="18"/>
              </w:rPr>
              <w:t>4</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4</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5</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3.9</w:t>
            </w:r>
          </w:p>
        </w:tc>
      </w:tr>
      <w:tr>
        <w:trPr>
          <w:cantSplit/>
        </w:trPr>
        <w:tc>
          <w:tcPr>
            <w:tcW w:type="dxa" w:w="3931"/>
            <w:vAlign w:val="center"/>
            <w:shd w:fill="FFFFFF"/>
            <w:tcMar>
              <w:top w:w="90" w:type="dxa"/>
              <w:bottom w:w="90" w:type="dxa"/>
              <w:left w:w="95" w:type="dxa"/>
              <w:right w:w="95" w:type="dxa"/>
            </w:tcMar>
          </w:tcPr>
          <w:p>
            <w:pPr>
              <w:keepNext/>
              <w:spacing w:after="0" w:line="257" w:lineRule="auto"/>
            </w:pPr>
            <w:r>
              <w:rPr>
                <w:b w:val="0"/>
                <w:color w:val="112534"/>
                <w:sz w:val="18"/>
              </w:rPr>
              <w:t>Public evidence atlas and professional education</w:t>
            </w:r>
          </w:p>
        </w:tc>
        <w:tc>
          <w:tcPr>
            <w:tcW w:type="dxa" w:w="936"/>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1037"/>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950"/>
            <w:vAlign w:val="center"/>
            <w:shd w:fill="FFFFFF"/>
            <w:tcMar>
              <w:top w:w="90" w:type="dxa"/>
              <w:bottom w:w="90" w:type="dxa"/>
              <w:left w:w="95" w:type="dxa"/>
              <w:right w:w="95" w:type="dxa"/>
            </w:tcMar>
          </w:tcPr>
          <w:p>
            <w:pPr>
              <w:keepNext/>
              <w:spacing w:after="0" w:line="257" w:lineRule="auto"/>
            </w:pPr>
            <w:r>
              <w:rPr>
                <w:b w:val="0"/>
                <w:color w:val="112534"/>
                <w:sz w:val="18"/>
              </w:rPr>
              <w:t>2</w:t>
            </w:r>
          </w:p>
        </w:tc>
        <w:tc>
          <w:tcPr>
            <w:tcW w:type="dxa" w:w="1166"/>
            <w:vAlign w:val="center"/>
            <w:shd w:fill="FFFFFF"/>
            <w:tcMar>
              <w:top w:w="90" w:type="dxa"/>
              <w:bottom w:w="90" w:type="dxa"/>
              <w:left w:w="95" w:type="dxa"/>
              <w:right w:w="95" w:type="dxa"/>
            </w:tcMar>
          </w:tcPr>
          <w:p>
            <w:pPr>
              <w:keepNext/>
              <w:spacing w:after="0" w:line="257" w:lineRule="auto"/>
            </w:pPr>
            <w:r>
              <w:rPr>
                <w:b w:val="0"/>
                <w:color w:val="112534"/>
                <w:sz w:val="18"/>
              </w:rPr>
              <w:t>5</w:t>
            </w:r>
          </w:p>
        </w:tc>
        <w:tc>
          <w:tcPr>
            <w:tcW w:type="dxa" w:w="1166"/>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1037"/>
            <w:vAlign w:val="center"/>
            <w:shd w:fill="FFFFFF"/>
            <w:tcMar>
              <w:top w:w="90" w:type="dxa"/>
              <w:bottom w:w="90" w:type="dxa"/>
              <w:left w:w="95" w:type="dxa"/>
              <w:right w:w="95" w:type="dxa"/>
            </w:tcMar>
          </w:tcPr>
          <w:p>
            <w:pPr>
              <w:keepNext/>
              <w:spacing w:after="0" w:line="257" w:lineRule="auto"/>
            </w:pPr>
            <w:r>
              <w:rPr>
                <w:b w:val="0"/>
                <w:color w:val="112534"/>
                <w:sz w:val="18"/>
              </w:rPr>
              <w:t>3.8</w:t>
            </w:r>
          </w:p>
        </w:tc>
      </w:tr>
      <w:tr>
        <w:trPr>
          <w:cantSplit/>
        </w:trPr>
        <w:tc>
          <w:tcPr>
            <w:tcW w:type="dxa" w:w="3931"/>
            <w:vAlign w:val="center"/>
            <w:shd w:fill="F0F5F5"/>
            <w:tcMar>
              <w:top w:w="90" w:type="dxa"/>
              <w:bottom w:w="90" w:type="dxa"/>
              <w:left w:w="95" w:type="dxa"/>
              <w:right w:w="95" w:type="dxa"/>
            </w:tcMar>
          </w:tcPr>
          <w:p>
            <w:pPr>
              <w:keepNext/>
              <w:spacing w:after="0" w:line="257" w:lineRule="auto"/>
            </w:pPr>
            <w:r>
              <w:rPr>
                <w:b w:val="0"/>
                <w:color w:val="112534"/>
                <w:sz w:val="18"/>
              </w:rPr>
              <w:t>Dysautonomia longitudinal observation and research</w:t>
            </w:r>
          </w:p>
        </w:tc>
        <w:tc>
          <w:tcPr>
            <w:tcW w:type="dxa" w:w="936"/>
            <w:vAlign w:val="center"/>
            <w:shd w:fill="F0F5F5"/>
            <w:tcMar>
              <w:top w:w="90" w:type="dxa"/>
              <w:bottom w:w="90" w:type="dxa"/>
              <w:left w:w="95" w:type="dxa"/>
              <w:right w:w="95" w:type="dxa"/>
            </w:tcMar>
          </w:tcPr>
          <w:p>
            <w:pPr>
              <w:keepNext/>
              <w:spacing w:after="0" w:line="257" w:lineRule="auto"/>
            </w:pPr>
            <w:r>
              <w:rPr>
                <w:b w:val="0"/>
                <w:color w:val="112534"/>
                <w:sz w:val="18"/>
              </w:rPr>
              <w:t>5</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3</w:t>
            </w:r>
          </w:p>
        </w:tc>
        <w:tc>
          <w:tcPr>
            <w:tcW w:type="dxa" w:w="950"/>
            <w:vAlign w:val="center"/>
            <w:shd w:fill="F0F5F5"/>
            <w:tcMar>
              <w:top w:w="90" w:type="dxa"/>
              <w:bottom w:w="90" w:type="dxa"/>
              <w:left w:w="95" w:type="dxa"/>
              <w:right w:w="95" w:type="dxa"/>
            </w:tcMar>
          </w:tcPr>
          <w:p>
            <w:pPr>
              <w:keepNext/>
              <w:spacing w:after="0" w:line="257" w:lineRule="auto"/>
            </w:pPr>
            <w:r>
              <w:rPr>
                <w:b w:val="0"/>
                <w:color w:val="112534"/>
                <w:sz w:val="18"/>
              </w:rPr>
              <w:t>3</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3</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4</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3.6</w:t>
            </w:r>
          </w:p>
        </w:tc>
      </w:tr>
      <w:tr>
        <w:trPr>
          <w:cantSplit/>
        </w:trPr>
        <w:tc>
          <w:tcPr>
            <w:tcW w:type="dxa" w:w="3931"/>
            <w:vAlign w:val="center"/>
            <w:shd w:fill="FFFFFF"/>
            <w:tcMar>
              <w:top w:w="90" w:type="dxa"/>
              <w:bottom w:w="90" w:type="dxa"/>
              <w:left w:w="95" w:type="dxa"/>
              <w:right w:w="95" w:type="dxa"/>
            </w:tcMar>
          </w:tcPr>
          <w:p>
            <w:pPr>
              <w:keepNext/>
              <w:spacing w:after="0" w:line="257" w:lineRule="auto"/>
            </w:pPr>
            <w:r>
              <w:rPr>
                <w:b w:val="0"/>
                <w:color w:val="112534"/>
                <w:sz w:val="18"/>
              </w:rPr>
              <w:t>Sleep–autonomic–rhythm research phenotyping</w:t>
            </w:r>
          </w:p>
        </w:tc>
        <w:tc>
          <w:tcPr>
            <w:tcW w:type="dxa" w:w="936"/>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1037"/>
            <w:vAlign w:val="center"/>
            <w:shd w:fill="FFFFFF"/>
            <w:tcMar>
              <w:top w:w="90" w:type="dxa"/>
              <w:bottom w:w="90" w:type="dxa"/>
              <w:left w:w="95" w:type="dxa"/>
              <w:right w:w="95" w:type="dxa"/>
            </w:tcMar>
          </w:tcPr>
          <w:p>
            <w:pPr>
              <w:keepNext/>
              <w:spacing w:after="0" w:line="257" w:lineRule="auto"/>
            </w:pPr>
            <w:r>
              <w:rPr>
                <w:b w:val="0"/>
                <w:color w:val="112534"/>
                <w:sz w:val="18"/>
              </w:rPr>
              <w:t>3</w:t>
            </w:r>
          </w:p>
        </w:tc>
        <w:tc>
          <w:tcPr>
            <w:tcW w:type="dxa" w:w="950"/>
            <w:vAlign w:val="center"/>
            <w:shd w:fill="FFFFFF"/>
            <w:tcMar>
              <w:top w:w="90" w:type="dxa"/>
              <w:bottom w:w="90" w:type="dxa"/>
              <w:left w:w="95" w:type="dxa"/>
              <w:right w:w="95" w:type="dxa"/>
            </w:tcMar>
          </w:tcPr>
          <w:p>
            <w:pPr>
              <w:keepNext/>
              <w:spacing w:after="0" w:line="257" w:lineRule="auto"/>
            </w:pPr>
            <w:r>
              <w:rPr>
                <w:b w:val="0"/>
                <w:color w:val="112534"/>
                <w:sz w:val="18"/>
              </w:rPr>
              <w:t>3</w:t>
            </w:r>
          </w:p>
        </w:tc>
        <w:tc>
          <w:tcPr>
            <w:tcW w:type="dxa" w:w="1166"/>
            <w:vAlign w:val="center"/>
            <w:shd w:fill="FFFFFF"/>
            <w:tcMar>
              <w:top w:w="90" w:type="dxa"/>
              <w:bottom w:w="90" w:type="dxa"/>
              <w:left w:w="95" w:type="dxa"/>
              <w:right w:w="95" w:type="dxa"/>
            </w:tcMar>
          </w:tcPr>
          <w:p>
            <w:pPr>
              <w:keepNext/>
              <w:spacing w:after="0" w:line="257" w:lineRule="auto"/>
            </w:pPr>
            <w:r>
              <w:rPr>
                <w:b w:val="0"/>
                <w:color w:val="112534"/>
                <w:sz w:val="18"/>
              </w:rPr>
              <w:t>3</w:t>
            </w:r>
          </w:p>
        </w:tc>
        <w:tc>
          <w:tcPr>
            <w:tcW w:type="dxa" w:w="1166"/>
            <w:vAlign w:val="center"/>
            <w:shd w:fill="FFFFFF"/>
            <w:tcMar>
              <w:top w:w="90" w:type="dxa"/>
              <w:bottom w:w="90" w:type="dxa"/>
              <w:left w:w="95" w:type="dxa"/>
              <w:right w:w="95" w:type="dxa"/>
            </w:tcMar>
          </w:tcPr>
          <w:p>
            <w:pPr>
              <w:keepNext/>
              <w:spacing w:after="0" w:line="257" w:lineRule="auto"/>
            </w:pPr>
            <w:r>
              <w:rPr>
                <w:b w:val="0"/>
                <w:color w:val="112534"/>
                <w:sz w:val="18"/>
              </w:rPr>
              <w:t>4</w:t>
            </w:r>
          </w:p>
        </w:tc>
        <w:tc>
          <w:tcPr>
            <w:tcW w:type="dxa" w:w="1037"/>
            <w:vAlign w:val="center"/>
            <w:shd w:fill="FFFFFF"/>
            <w:tcMar>
              <w:top w:w="90" w:type="dxa"/>
              <w:bottom w:w="90" w:type="dxa"/>
              <w:left w:w="95" w:type="dxa"/>
              <w:right w:w="95" w:type="dxa"/>
            </w:tcMar>
          </w:tcPr>
          <w:p>
            <w:pPr>
              <w:keepNext/>
              <w:spacing w:after="0" w:line="257" w:lineRule="auto"/>
            </w:pPr>
            <w:r>
              <w:rPr>
                <w:b w:val="0"/>
                <w:color w:val="112534"/>
                <w:sz w:val="18"/>
              </w:rPr>
              <w:t>3.4</w:t>
            </w:r>
          </w:p>
        </w:tc>
      </w:tr>
      <w:tr>
        <w:trPr>
          <w:cantSplit/>
        </w:trPr>
        <w:tc>
          <w:tcPr>
            <w:tcW w:type="dxa" w:w="3931"/>
            <w:vAlign w:val="center"/>
            <w:shd w:fill="F0F5F5"/>
            <w:tcMar>
              <w:top w:w="90" w:type="dxa"/>
              <w:bottom w:w="90" w:type="dxa"/>
              <w:left w:w="95" w:type="dxa"/>
              <w:right w:w="95" w:type="dxa"/>
            </w:tcMar>
          </w:tcPr>
          <w:p>
            <w:pPr>
              <w:keepNext/>
              <w:spacing w:after="0" w:line="257" w:lineRule="auto"/>
            </w:pPr>
            <w:r>
              <w:rPr>
                <w:b w:val="0"/>
                <w:color w:val="112534"/>
                <w:sz w:val="18"/>
              </w:rPr>
              <w:t>Closed-loop neurocardiac treatment selection</w:t>
            </w:r>
          </w:p>
        </w:tc>
        <w:tc>
          <w:tcPr>
            <w:tcW w:type="dxa" w:w="936"/>
            <w:vAlign w:val="center"/>
            <w:shd w:fill="F0F5F5"/>
            <w:tcMar>
              <w:top w:w="90" w:type="dxa"/>
              <w:bottom w:w="90" w:type="dxa"/>
              <w:left w:w="95" w:type="dxa"/>
              <w:right w:w="95" w:type="dxa"/>
            </w:tcMar>
          </w:tcPr>
          <w:p>
            <w:pPr>
              <w:keepNext/>
              <w:spacing w:after="0" w:line="257" w:lineRule="auto"/>
            </w:pPr>
            <w:r>
              <w:rPr>
                <w:b w:val="0"/>
                <w:color w:val="112534"/>
                <w:sz w:val="18"/>
              </w:rPr>
              <w:t>5</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2</w:t>
            </w:r>
          </w:p>
        </w:tc>
        <w:tc>
          <w:tcPr>
            <w:tcW w:type="dxa" w:w="950"/>
            <w:vAlign w:val="center"/>
            <w:shd w:fill="F0F5F5"/>
            <w:tcMar>
              <w:top w:w="90" w:type="dxa"/>
              <w:bottom w:w="90" w:type="dxa"/>
              <w:left w:w="95" w:type="dxa"/>
              <w:right w:w="95" w:type="dxa"/>
            </w:tcMar>
          </w:tcPr>
          <w:p>
            <w:pPr>
              <w:keepNext/>
              <w:spacing w:after="0" w:line="257" w:lineRule="auto"/>
            </w:pPr>
            <w:r>
              <w:rPr>
                <w:b w:val="0"/>
                <w:color w:val="112534"/>
                <w:sz w:val="18"/>
              </w:rPr>
              <w:t>3</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1</w:t>
            </w:r>
          </w:p>
        </w:tc>
        <w:tc>
          <w:tcPr>
            <w:tcW w:type="dxa" w:w="1166"/>
            <w:vAlign w:val="center"/>
            <w:shd w:fill="F0F5F5"/>
            <w:tcMar>
              <w:top w:w="90" w:type="dxa"/>
              <w:bottom w:w="90" w:type="dxa"/>
              <w:left w:w="95" w:type="dxa"/>
              <w:right w:w="95" w:type="dxa"/>
            </w:tcMar>
          </w:tcPr>
          <w:p>
            <w:pPr>
              <w:keepNext/>
              <w:spacing w:after="0" w:line="257" w:lineRule="auto"/>
            </w:pPr>
            <w:r>
              <w:rPr>
                <w:b w:val="0"/>
                <w:color w:val="112534"/>
                <w:sz w:val="18"/>
              </w:rPr>
              <w:t>5</w:t>
            </w:r>
          </w:p>
        </w:tc>
        <w:tc>
          <w:tcPr>
            <w:tcW w:type="dxa" w:w="1037"/>
            <w:vAlign w:val="center"/>
            <w:shd w:fill="F0F5F5"/>
            <w:tcMar>
              <w:top w:w="90" w:type="dxa"/>
              <w:bottom w:w="90" w:type="dxa"/>
              <w:left w:w="95" w:type="dxa"/>
              <w:right w:w="95" w:type="dxa"/>
            </w:tcMar>
          </w:tcPr>
          <w:p>
            <w:pPr>
              <w:keepNext/>
              <w:spacing w:after="0" w:line="257" w:lineRule="auto"/>
            </w:pPr>
            <w:r>
              <w:rPr>
                <w:b w:val="0"/>
                <w:color w:val="112534"/>
                <w:sz w:val="18"/>
              </w:rPr>
              <w:t>3.1</w:t>
            </w:r>
          </w:p>
        </w:tc>
      </w:tr>
      <w:tr>
        <w:trPr>
          <w:cantSplit/>
        </w:trPr>
        <w:tc>
          <w:tcPr>
            <w:tcW w:type="dxa" w:w="3931"/>
            <w:vAlign w:val="center"/>
            <w:shd w:fill="FFFFFF"/>
            <w:tcMar>
              <w:top w:w="90" w:type="dxa"/>
              <w:bottom w:w="90" w:type="dxa"/>
              <w:left w:w="95" w:type="dxa"/>
              <w:right w:w="95" w:type="dxa"/>
            </w:tcMar>
          </w:tcPr>
          <w:p>
            <w:pPr>
              <w:spacing w:after="0" w:line="257" w:lineRule="auto"/>
            </w:pPr>
            <w:r>
              <w:rPr>
                <w:b w:val="0"/>
                <w:color w:val="112534"/>
                <w:sz w:val="18"/>
              </w:rPr>
              <w:t>EEG-based attribution as an independent product</w:t>
            </w:r>
          </w:p>
        </w:tc>
        <w:tc>
          <w:tcPr>
            <w:tcW w:type="dxa" w:w="936"/>
            <w:vAlign w:val="center"/>
            <w:shd w:fill="FFFFFF"/>
            <w:tcMar>
              <w:top w:w="90" w:type="dxa"/>
              <w:bottom w:w="90" w:type="dxa"/>
              <w:left w:w="95" w:type="dxa"/>
              <w:right w:w="95" w:type="dxa"/>
            </w:tcMar>
          </w:tcPr>
          <w:p>
            <w:pPr>
              <w:spacing w:after="0" w:line="257" w:lineRule="auto"/>
            </w:pPr>
            <w:r>
              <w:rPr>
                <w:b w:val="0"/>
                <w:color w:val="112534"/>
                <w:sz w:val="18"/>
              </w:rPr>
              <w:t>2</w:t>
            </w:r>
          </w:p>
        </w:tc>
        <w:tc>
          <w:tcPr>
            <w:tcW w:type="dxa" w:w="1037"/>
            <w:vAlign w:val="center"/>
            <w:shd w:fill="FFFFFF"/>
            <w:tcMar>
              <w:top w:w="90" w:type="dxa"/>
              <w:bottom w:w="90" w:type="dxa"/>
              <w:left w:w="95" w:type="dxa"/>
              <w:right w:w="95" w:type="dxa"/>
            </w:tcMar>
          </w:tcPr>
          <w:p>
            <w:pPr>
              <w:spacing w:after="0" w:line="257" w:lineRule="auto"/>
            </w:pPr>
            <w:r>
              <w:rPr>
                <w:b w:val="0"/>
                <w:color w:val="112534"/>
                <w:sz w:val="18"/>
              </w:rPr>
              <w:t>1</w:t>
            </w:r>
          </w:p>
        </w:tc>
        <w:tc>
          <w:tcPr>
            <w:tcW w:type="dxa" w:w="950"/>
            <w:vAlign w:val="center"/>
            <w:shd w:fill="FFFFFF"/>
            <w:tcMar>
              <w:top w:w="90" w:type="dxa"/>
              <w:bottom w:w="90" w:type="dxa"/>
              <w:left w:w="95" w:type="dxa"/>
              <w:right w:w="95" w:type="dxa"/>
            </w:tcMar>
          </w:tcPr>
          <w:p>
            <w:pPr>
              <w:spacing w:after="0" w:line="257" w:lineRule="auto"/>
            </w:pPr>
            <w:r>
              <w:rPr>
                <w:b w:val="0"/>
                <w:color w:val="112534"/>
                <w:sz w:val="18"/>
              </w:rPr>
              <w:t>2</w:t>
            </w:r>
          </w:p>
        </w:tc>
        <w:tc>
          <w:tcPr>
            <w:tcW w:type="dxa" w:w="1166"/>
            <w:vAlign w:val="center"/>
            <w:shd w:fill="FFFFFF"/>
            <w:tcMar>
              <w:top w:w="90" w:type="dxa"/>
              <w:bottom w:w="90" w:type="dxa"/>
              <w:left w:w="95" w:type="dxa"/>
              <w:right w:w="95" w:type="dxa"/>
            </w:tcMar>
          </w:tcPr>
          <w:p>
            <w:pPr>
              <w:spacing w:after="0" w:line="257" w:lineRule="auto"/>
            </w:pPr>
            <w:r>
              <w:rPr>
                <w:b w:val="0"/>
                <w:color w:val="112534"/>
                <w:sz w:val="18"/>
              </w:rPr>
              <w:t>2</w:t>
            </w:r>
          </w:p>
        </w:tc>
        <w:tc>
          <w:tcPr>
            <w:tcW w:type="dxa" w:w="1166"/>
            <w:vAlign w:val="center"/>
            <w:shd w:fill="FFFFFF"/>
            <w:tcMar>
              <w:top w:w="90" w:type="dxa"/>
              <w:bottom w:w="90" w:type="dxa"/>
              <w:left w:w="95" w:type="dxa"/>
              <w:right w:w="95" w:type="dxa"/>
            </w:tcMar>
          </w:tcPr>
          <w:p>
            <w:pPr>
              <w:spacing w:after="0" w:line="257" w:lineRule="auto"/>
            </w:pPr>
            <w:r>
              <w:rPr>
                <w:b w:val="0"/>
                <w:color w:val="112534"/>
                <w:sz w:val="18"/>
              </w:rPr>
              <w:t>4</w:t>
            </w:r>
          </w:p>
        </w:tc>
        <w:tc>
          <w:tcPr>
            <w:tcW w:type="dxa" w:w="1037"/>
            <w:vAlign w:val="center"/>
            <w:shd w:fill="FFFFFF"/>
            <w:tcMar>
              <w:top w:w="90" w:type="dxa"/>
              <w:bottom w:w="90" w:type="dxa"/>
              <w:left w:w="95" w:type="dxa"/>
              <w:right w:w="95" w:type="dxa"/>
            </w:tcMar>
          </w:tcPr>
          <w:p>
            <w:pPr>
              <w:spacing w:after="0" w:line="257" w:lineRule="auto"/>
            </w:pPr>
            <w:r>
              <w:rPr>
                <w:b w:val="0"/>
                <w:color w:val="112534"/>
                <w:sz w:val="18"/>
              </w:rPr>
              <w:t>2.0</w:t>
            </w:r>
          </w:p>
        </w:tc>
      </w:tr>
    </w:tbl>
    <w:p>
      <w:pPr>
        <w:spacing w:after="20"/>
      </w:pPr>
    </w:p>
    <w:p>
      <w:r>
        <w:t>The tie at the top is deliberate. Stroke has a concrete transition between specialties and an established rhythm-monitoring pathway. Blood pressure has broad burden and unusually meaningful brain-health evidence. The first contracted pilot should depend on actual access to a clinical partner, reliable source data, and a budget owner.</w:t>
      </w:r>
    </w:p>
    <w:p>
      <w:pPr>
        <w:pStyle w:val="Heading2"/>
      </w:pPr>
      <w:r>
        <w:t>What to build first, next, and later</w:t>
      </w:r>
    </w:p>
    <w:p>
      <w:r/>
      <w:r>
        <w:rPr>
          <w:b/>
        </w:rPr>
        <w:t>First: the Neurocardia experience.</w:t>
      </w:r>
      <w:r>
        <w:t xml:space="preserve"> Publish a rich, source-linked atlas and evidence lab that demonstrate the thesis. Build a curated professional audience and conduct structured interviews. The Site is the entry experience, not evidence that a clinical product is already operating.</w:t>
      </w:r>
    </w:p>
    <w:p>
      <w:r/>
      <w:r>
        <w:rPr>
          <w:b/>
        </w:rPr>
        <w:t>Next: a research collaboration.</w:t>
      </w:r>
      <w:r>
        <w:t xml:space="preserve"> Offer a narrowly defined workspace for evidence review, protocol design, or multimodal study operations. A research buyer may value data quality, reproducibility, and trial execution without requiring Neurocardia to make unvalidated patient-level predictions.</w:t>
      </w:r>
    </w:p>
    <w:p>
      <w:r/>
      <w:r>
        <w:rPr>
          <w:b/>
        </w:rPr>
        <w:t>Then: one workflow pilot.</w:t>
      </w:r>
      <w:r>
        <w:t xml:space="preserve"> Choose post-stroke monitoring follow-through or BP-to-brain-health implementation. Define the workflow outcome before adding sophisticated sensing. A pilot might measure completion, data availability, referral turnaround, or interpretation burden. Patient outcomes require a suitable design and timeframe.</w:t>
      </w:r>
    </w:p>
    <w:p>
      <w:r/>
      <w:r>
        <w:rPr>
          <w:b/>
        </w:rPr>
        <w:t>Later: clinical prediction or treatment selection.</w:t>
      </w:r>
      <w:r>
        <w:t xml:space="preserve"> Advance only when a specific model shows incremental utility, external performance, an actionable intervention, and a credible regulatory and reimbursement route. Closed-loop stimulation and EEG-based identity should remain distinct experimental programs.</w:t>
      </w:r>
    </w:p>
    <w:p>
      <w:pPr>
        <w:pStyle w:val="Heading2"/>
      </w:pPr>
      <w:r>
        <w:t>Defensibility worth building</w:t>
      </w:r>
    </w:p>
    <w:p>
      <w:r>
        <w:t>A defensible foundation could combine a versioned claim-to-source graph, condition-specific evidence taxonomies, reproducible multimodal data standards, and trusted clinical research partnerships. Design quality attracts attention, but it is not sufficient protection. A broad “AI nervous-system score” would be easy to imitate and difficult to substantiate.</w:t>
      </w:r>
    </w:p>
    <w:p>
      <w:bookmarkStart w:id="18" w:name="ch18"/>
      <w:pPr>
        <w:pStyle w:val="Heading1"/>
        <w:pageBreakBefore w:val="0"/>
      </w:pPr>
      <w:r>
        <w:t>18 / Buyers and adoption economics</w:t>
      </w:r>
      <w:bookmarkEnd w:id="18"/>
    </w:p>
    <w:p>
      <w:pPr>
        <w:pStyle w:val="Heading2"/>
      </w:pPr>
      <w:r>
        <w:t>Match each offer to a budget owner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Buyer</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Proposed paid problem</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Measurable first outcome</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Likely adoption obstacle</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Academic or industry research group</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Assemble and analyze governed multimodal evidence and study data</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Less preparation time; improved usable-data yield; reproducible exports</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Data access, study agreements, validation requirements</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Neurology or stroke service line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Complete the transition from stroke workup to rhythm assessment and follow-up</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Monitoring completion and appropriate follow-up rates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Existing systems, staffing, unclear ownership</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Hypertension or population-health program</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Communicate shared brain–heart risk and evaluate implementation</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BP ascertainment and program completion; later clinical outcomes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Engagement, reimbursement, sustained clinical capacity</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Device or biopharma clinical-development team</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Identify phenotype gaps and support study design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Protocol quality, recruitment feasibility, interpretable endpoints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Procurement, conflicts of interest, proprietary data</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Professional organization or education sponsor</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Deliver trustworthy cross-specialty learning</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Knowledge retention and qualified engagement</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Editorial independence and content maintenance</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Consumer</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Understand connections and prepare better questions for care</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Comprehension and useful navigation</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Willingness to pay, anxiety, confusion with clinical advice</w:t>
            </w:r>
          </w:p>
        </w:tc>
      </w:tr>
    </w:tbl>
    <w:p>
      <w:pPr>
        <w:spacing w:after="20"/>
      </w:pPr>
    </w:p>
    <w:p>
      <w:r>
        <w:t>These are hypotheses for interviews. A free public atlas may be valuable distribution even if consumers are not the initial payer. Sponsored education should disclose sponsorship at the content level and must not alter evidence grading or suppress negative trials.</w:t>
      </w:r>
    </w:p>
    <w:p>
      <w:pPr>
        <w:pStyle w:val="Heading2"/>
      </w:pPr>
      <w:r>
        <w:t>Illustrative commercial scenarios, not market forecasts</w:t>
      </w:r>
    </w:p>
    <w:p>
      <w:r>
        <w:t>The following arithmetic explores possible operating scales. Prices, customer counts, and volumes are planning assumptions; they have not been established through customer interviews. The scenarios are separate business models and must not be added as a “TAM.” Revenue is before implementation costs, clinical staffing, data licenses, security, support, and sales costs.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Model</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Illustrative conservative case</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Illustrative developed case</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Main sensitivity</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Research workspace and services</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5 annual contracts × $150,000 = $0.75m</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12 × $250,000 = $3.0m</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Scope of service, procurement cycle, renewal</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Clinical program support</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5 sites × 200 enrolled people × $25/month × 12 = $0.30m</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10 × 400 × $35 × 12 = $1.68m</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Enrollment, billable months, clinical labor</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Professional evidence subscription</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20 organizations × $10,000/year = $0.20m</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60 × $25,000 = $1.50m</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Differentiation from existing libraries and free content</w:t>
            </w:r>
          </w:p>
        </w:tc>
      </w:tr>
    </w:tbl>
    <w:p>
      <w:pPr>
        <w:spacing w:after="20"/>
      </w:pPr>
    </w:p>
    <w:p>
      <w:r>
        <w:t>The clinical example assumes a full year of billable participation for every listed person. Actual enrollment ramp, attrition, and utilization would reduce revenue. None of the figures is a reimbursement rate, contracted price, or validated willingness-to-pay estimate.</w:t>
      </w:r>
    </w:p>
    <w:p>
      <w:pPr>
        <w:pStyle w:val="Heading2"/>
      </w:pPr>
      <w:r>
        <w:t>Reimbursement is specific, not portable</w:t>
      </w:r>
    </w:p>
    <w:p>
      <w:r>
        <w:t xml:space="preserve">Renal denervation demonstrates why precision matters. The CMS national coverage determination establishes coverage under evidence development with specified conditions. That does not create coverage for every autonomic intervention, for Neurocardia software, or for a consumer monitoring bundle. </w:t>
      </w:r>
      <w:r>
        <w:rPr>
          <w:sz w:val="19"/>
        </w:rPr>
        <w:t>[</w:t>
      </w:r>
      <w:hyperlink w:anchor="ref25">
        <w:r>
          <w:rPr>
            <w:color w:val="205F68"/>
            <w:sz w:val="19"/>
          </w:rPr>
          <w:t>25</w:t>
        </w:r>
      </w:hyperlink>
      <w:r>
        <w:rPr>
          <w:sz w:val="19"/>
        </w:rPr>
        <w:t>]</w:t>
      </w:r>
      <w:r/>
    </w:p>
    <w:p>
      <w:r>
        <w:t xml:space="preserve">Existing monitoring, procedures, or rehabilitation may have their own payment routes, but a new platform cannot simply inherit them. Diligence should identify the service actually delivered, who bills, documentation, professional oversight, payer policy, and incremental cost. Any health-system business case should initially assume </w:t>
      </w:r>
      <w:r>
        <w:rPr>
          <w:b/>
        </w:rPr>
        <w:t>zero avoided-event savings</w:t>
      </w:r>
      <w:r>
        <w:t xml:space="preserve"> until a relevant and credible analysis supports a different assumption.</w:t>
      </w:r>
    </w:p>
    <w:p>
      <w:pPr>
        <w:pStyle w:val="Heading2"/>
      </w:pPr>
      <w:r>
        <w:t>The first customer-discovery sprint</w:t>
      </w:r>
    </w:p>
    <w:p>
      <w:r>
        <w:t>Interview approximately 15–20 stakeholders across stroke services, electrophysiology, hypertension care, autonomic clinics, clinical research, and patient or caregiver perspectives. These counts are a proposed plan, not completed research. Seek concrete recent examples: where did a handoff fail, how many staff touches were required, which data were missing, and who owned the cost?</w:t>
      </w:r>
    </w:p>
    <w:p>
      <w:r>
        <w:t>Advance a use case only if several independent organizations describe the same problem, a buyer can identify budget or procurement steps, baseline performance is measurable, and the intervention can fit existing work. Enthusiasm for the brain–heart story alone is not product–market fit.</w:t>
      </w:r>
    </w:p>
    <w:p>
      <w:bookmarkStart w:id="19" w:name="ch19"/>
      <w:pPr>
        <w:pStyle w:val="Heading1"/>
        <w:pageBreakBefore w:val="0"/>
      </w:pPr>
      <w:r>
        <w:t>19 / Six studies that can change the decision</w:t>
      </w:r>
      <w:bookmarkEnd w:id="19"/>
    </w:p>
    <w:p>
      <w:r>
        <w:t>These are proposed programs, not completed protocols or powered trial designs. Final endpoints, sample sizes, eligibility, safety processes, and statistical plans require investigator and ethics review appropriate to the work.</w:t>
      </w:r>
    </w:p>
    <w:p>
      <w:pPr>
        <w:pStyle w:val="Heading2"/>
      </w:pPr>
      <w:r>
        <w:t>Study A — Multimodal acquisition and alignment feasibility</w:t>
      </w:r>
    </w:p>
    <w:p>
      <w:r/>
      <w:r>
        <w:rPr>
          <w:b/>
        </w:rPr>
        <w:t>Question:</w:t>
      </w:r>
      <w:r>
        <w:t xml:space="preserve"> Can the intended devices deliver sufficiently complete and synchronized recordings in the target setting? Use consented recordings and a prespecified reference clock. Measure usable hours, clock drift, quality exclusions, missingness, participant burden, and export reproducibility. Include device and software version changes.</w:t>
      </w:r>
    </w:p>
    <w:p>
      <w:r/>
      <w:r>
        <w:rPr>
          <w:b/>
        </w:rPr>
        <w:t>Decision:</w:t>
      </w:r>
      <w:r>
        <w:t xml:space="preserve"> Continue only if the data support the intended analysis windows without excessive selective exclusion. A visually attractive synchronized chart is not enough. The pilot should explicitly test what happens when one sensor is absent or low quality.</w:t>
      </w:r>
    </w:p>
    <w:p>
      <w:pPr>
        <w:pStyle w:val="Heading2"/>
      </w:pPr>
      <w:r>
        <w:t>Study B — Does a neural signal add independent information?</w:t>
      </w:r>
    </w:p>
    <w:p>
      <w:r/>
      <w:r>
        <w:rPr>
          <w:b/>
        </w:rPr>
        <w:t>Question:</w:t>
      </w:r>
      <w:r>
        <w:t xml:space="preserve"> Does an EEG feature improve a defined phenotype or endpoint beyond ECG, respiration, posture, and clinical variables? Prespecify features and baselines. Partition participants and nights to avoid leakage. Compare full and reduced models, quantify uncertainty, and test repeatability.</w:t>
      </w:r>
    </w:p>
    <w:p>
      <w:r/>
      <w:r>
        <w:rPr>
          <w:b/>
        </w:rPr>
        <w:t>Decision:</w:t>
      </w:r>
      <w:r>
        <w:t xml:space="preserve"> Retain EEG only if the incremental contribution is reproducible and practically valuable relative to cost and burden. Failure to add value should simplify the product rather than be hidden in a composite score.</w:t>
      </w:r>
    </w:p>
    <w:p>
      <w:pPr>
        <w:pStyle w:val="Heading2"/>
      </w:pPr>
      <w:r>
        <w:t>Study C — Post-stroke monitoring follow-through</w:t>
      </w:r>
    </w:p>
    <w:p>
      <w:r/>
      <w:r>
        <w:rPr>
          <w:b/>
        </w:rPr>
        <w:t>Question:</w:t>
      </w:r>
      <w:r>
        <w:t xml:space="preserve"> Can a shared workflow improve monitoring completion, interpretable recording availability, and timely review after stroke? Begin with a baseline audit and a prospective implementation study. Track eligibility, reasons for noncompletion, referral timing, and clinician review.</w:t>
      </w:r>
    </w:p>
    <w:p>
      <w:r/>
      <w:r>
        <w:rPr>
          <w:b/>
        </w:rPr>
        <w:t>Decision:</w:t>
      </w:r>
      <w:r>
        <w:t xml:space="preserve"> A workflow benefit can support operational value. Do not claim reduction in recurrent stroke from improved process metrics alone. A patient-outcome claim would need its own comparative evaluation and sufficient follow-up.</w:t>
      </w:r>
    </w:p>
    <w:p>
      <w:pPr>
        <w:pStyle w:val="Heading2"/>
      </w:pPr>
      <w:r>
        <w:t>Study D — BP, cognition, and engagement</w:t>
      </w:r>
    </w:p>
    <w:p>
      <w:r/>
      <w:r>
        <w:rPr>
          <w:b/>
        </w:rPr>
        <w:t>Question:</w:t>
      </w:r>
      <w:r>
        <w:t xml:space="preserve"> Does a brain–heart explanation improve participation in an existing evidence-based BP program? Compare the enhanced experience with usual program communication. Measure comprehension, completion, BP measurement quality, and engagement persistence; assess unintended anxiety.</w:t>
      </w:r>
    </w:p>
    <w:p>
      <w:r/>
      <w:r>
        <w:rPr>
          <w:b/>
        </w:rPr>
        <w:t>Decision:</w:t>
      </w:r>
      <w:r>
        <w:t xml:space="preserve"> Keep the communication intervention if it improves useful participation without distorting risk or creating unnecessary alarm. Cognitive or dementia prevention claims must remain grounded in the relevant clinical evidence, not inferred from better website engagement.</w:t>
      </w:r>
    </w:p>
    <w:p>
      <w:pPr>
        <w:pStyle w:val="Heading2"/>
      </w:pPr>
      <w:r>
        <w:t>Study E — Dysautonomia phenotype reproducibility</w:t>
      </w:r>
    </w:p>
    <w:p>
      <w:r/>
      <w:r>
        <w:rPr>
          <w:b/>
        </w:rPr>
        <w:t>Question:</w:t>
      </w:r>
      <w:r>
        <w:t xml:space="preserve"> Do longitudinal posture, BP, rhythm, activity, and symptom measures identify stable and interpretable patterns? Use clinician-defined reference assessments and medication context. Distinguish within-person change from between-person classification.</w:t>
      </w:r>
    </w:p>
    <w:p>
      <w:r/>
      <w:r>
        <w:rPr>
          <w:b/>
        </w:rPr>
        <w:t>Decision:</w:t>
      </w:r>
      <w:r>
        <w:t xml:space="preserve"> Advance only if the patterns are reproducible and explain a meaningful clinical or research decision. Avoid a diagnosis trained on self-reported labels alone without an appropriate reference standard.</w:t>
      </w:r>
    </w:p>
    <w:p>
      <w:pPr>
        <w:pStyle w:val="Heading2"/>
      </w:pPr>
      <w:r>
        <w:t>Study F — Attribution and trust, separately governed</w:t>
      </w:r>
    </w:p>
    <w:p>
      <w:r/>
      <w:r>
        <w:rPr>
          <w:b/>
        </w:rPr>
        <w:t>Question:</w:t>
      </w:r>
      <w:r>
        <w:t xml:space="preserve"> Can exploratory EEG-based attribution generalize across sessions, devices, and time? Extend the prior whole-night holdout approach; include open-set and impostor conditions, uncertainty, abstention, and explicit threat assumptions. A small feasibility dataset cannot justify security-grade accuracy claims.</w:t>
      </w:r>
    </w:p>
    <w:p>
      <w:r/>
      <w:r>
        <w:rPr>
          <w:b/>
        </w:rPr>
        <w:t>Decision:</w:t>
      </w:r>
      <w:r>
        <w:t xml:space="preserve"> Keep conventional authorization and consent mechanisms in place. Do not use experimental attribution to approve clinical actions, replace identity verification, or imply validity of the underlying health measurements.</w:t>
      </w:r>
    </w:p>
    <w:p>
      <w:pPr>
        <w:pStyle w:val="Heading2"/>
      </w:pPr>
      <w:r>
        <w:t>Common requirements across studies</w:t>
      </w:r>
    </w:p>
    <w:p>
      <w:r>
        <w:t>Each study needs a named owner, hypothesis, data dictionary, prespecified analysis, missing-data strategy, independent evaluation plan, and stop criteria. Report negative and inconclusive results. The Site can publish study concepts and findings with clear status labels; it should never present a planned study as an active or completed one.</w:t>
      </w:r>
    </w:p>
    <w:p>
      <w:bookmarkStart w:id="20" w:name="ch20"/>
      <w:pPr>
        <w:pStyle w:val="Heading1"/>
        <w:pageBreakBefore/>
      </w:pPr>
      <w:r>
        <w:t>20 / Neurocardia: a Site built for discovery</w:t>
      </w:r>
      <w:bookmarkEnd w:id="20"/>
    </w:p>
    <w:p>
      <w:pPr>
        <w:pStyle w:val="Heading2"/>
      </w:pPr>
      <w:r>
        <w:t>Positioning and promise</w:t>
      </w:r>
    </w:p>
    <w:p>
      <w:r/>
      <w:r>
        <w:rPr>
          <w:b/>
        </w:rPr>
        <w:t>Neurocardia — Explore the connections that medicine often sees separately.</w:t>
      </w:r>
      <w:r/>
    </w:p>
    <w:p>
      <w:r>
        <w:t xml:space="preserve">Supporting line: </w:t>
      </w:r>
      <w:r>
        <w:rPr>
          <w:b/>
        </w:rPr>
        <w:t>Discover how the brain, nervous system, heart, and circulation influence one another—and where evidence is opening new possibilities.</w:t>
      </w:r>
      <w:r/>
    </w:p>
    <w:p>
      <w:r>
        <w:t>The promise is informed exploration. The Site should feel like a sophisticated scientific observatory: warm, clear, visually absorbing, and precise about what is known. It should invite a curious visitor while rewarding a clinician, researcher, founder, or investor who wants deeper evidence.</w:t>
      </w:r>
    </w:p>
    <w:p>
      <w:r>
        <w:t>The first screen should already contain a useful interaction. A visitor selects a question and sees a pathway illuminate, an explanation appear, and the supporting evidence become available. Avoid an oversized promotional hero that postpones the actual experience.</w:t>
      </w:r>
    </w:p>
    <w:p>
      <w:pPr>
        <w:keepNext/>
        <w:spacing w:after="100"/>
      </w:pPr>
      <w:r>
        <w:drawing>
          <wp:inline xmlns:a="http://schemas.openxmlformats.org/drawingml/2006/main" xmlns:pic="http://schemas.openxmlformats.org/drawingml/2006/picture">
            <wp:extent cx="6492240" cy="4706874"/>
            <wp:docPr id="3" name="Picture 3" descr="Figure 2. Proposed Neurocardia Explore screen. This static visual illustrates the intended interaction and design direction; no Site has been deployed as part of this report."/>
            <wp:cNvGraphicFramePr>
              <a:graphicFrameLocks noChangeAspect="1"/>
            </wp:cNvGraphicFramePr>
            <a:graphic>
              <a:graphicData uri="http://schemas.openxmlformats.org/drawingml/2006/picture">
                <pic:pic>
                  <pic:nvPicPr>
                    <pic:cNvPr id="0" name="site.png"/>
                    <pic:cNvPicPr/>
                  </pic:nvPicPr>
                  <pic:blipFill>
                    <a:blip r:embed="rId13"/>
                    <a:stretch>
                      <a:fillRect/>
                    </a:stretch>
                  </pic:blipFill>
                  <pic:spPr>
                    <a:xfrm>
                      <a:off x="0" y="0"/>
                      <a:ext cx="6492240" cy="4706874"/>
                    </a:xfrm>
                    <a:prstGeom prst="rect"/>
                  </pic:spPr>
                </pic:pic>
              </a:graphicData>
            </a:graphic>
          </wp:inline>
        </w:drawing>
      </w:r>
    </w:p>
    <w:p>
      <w:pPr>
        <w:pStyle w:val="Caption"/>
      </w:pPr>
      <w:r>
        <w:t>Figure 2. Proposed Neurocardia Explore screen. This static visual illustrates the intended interaction and design direction; no Site has been deployed as part of this report.</w:t>
      </w:r>
    </w:p>
    <w:p>
      <w:pPr>
        <w:pStyle w:val="Heading2"/>
      </w:pPr>
      <w:r>
        <w:t>Three levels of engagement</w:t>
      </w:r>
    </w:p>
    <w:p>
      <w:r/>
      <w:r>
        <w:rPr>
          <w:b/>
        </w:rPr>
        <w:t>Explore:</w:t>
      </w:r>
      <w:r>
        <w:t xml:space="preserve"> approachable explanations, guided journeys, and a small number of essential evidence cards. </w:t>
      </w:r>
      <w:r>
        <w:rPr>
          <w:b/>
        </w:rPr>
        <w:t>Investigate:</w:t>
      </w:r>
      <w:r>
        <w:t xml:space="preserve"> mechanisms, competing explanations, landmark trials, and negative evidence. </w:t>
      </w:r>
      <w:r>
        <w:rPr>
          <w:b/>
        </w:rPr>
        <w:t>Innovate:</w:t>
      </w:r>
      <w:r>
        <w:t xml:space="preserve"> market maps, unmet-need hypotheses, research questions, and study-design tools. These are depth choices within one coherent product, not three disconnected websites.</w:t>
      </w:r>
    </w:p>
    <w:p>
      <w:pPr>
        <w:pStyle w:val="Heading2"/>
      </w:pPr>
      <w:r>
        <w:t>Proposed navigation and page contract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5"/>
        <w:gridCol w:w="2736"/>
        <w:gridCol w:w="2707"/>
        <w:gridCol w:w="2736"/>
      </w:tblGrid>
      <w:tr>
        <w:trPr>
          <w:cantSplit/>
          <w:tblHeader/>
        </w:trPr>
        <w:tc>
          <w:tcPr>
            <w:tcW w:type="dxa" w:w="2045"/>
            <w:vAlign w:val="center"/>
            <w:shd w:fill="173A4B"/>
            <w:tcMar>
              <w:top w:w="90" w:type="dxa"/>
              <w:bottom w:w="90" w:type="dxa"/>
              <w:left w:w="95" w:type="dxa"/>
              <w:right w:w="95" w:type="dxa"/>
            </w:tcMar>
          </w:tcPr>
          <w:p>
            <w:pPr>
              <w:keepNext/>
              <w:spacing w:after="0" w:line="257" w:lineRule="auto"/>
            </w:pPr>
            <w:r>
              <w:rPr>
                <w:b/>
                <w:color w:val="FFFFFF"/>
                <w:sz w:val="18"/>
              </w:rPr>
              <w:t>Surface</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Visitor’s task</w:t>
            </w:r>
          </w:p>
        </w:tc>
        <w:tc>
          <w:tcPr>
            <w:tcW w:type="dxa" w:w="2707"/>
            <w:vAlign w:val="center"/>
            <w:shd w:fill="173A4B"/>
            <w:tcMar>
              <w:top w:w="90" w:type="dxa"/>
              <w:bottom w:w="90" w:type="dxa"/>
              <w:left w:w="95" w:type="dxa"/>
              <w:right w:w="95" w:type="dxa"/>
            </w:tcMar>
          </w:tcPr>
          <w:p>
            <w:pPr>
              <w:keepNext/>
              <w:spacing w:after="0" w:line="257" w:lineRule="auto"/>
            </w:pPr>
            <w:r>
              <w:rPr>
                <w:b/>
                <w:color w:val="FFFFFF"/>
                <w:sz w:val="18"/>
              </w:rPr>
              <w:t>Main interaction</w:t>
            </w:r>
          </w:p>
        </w:tc>
        <w:tc>
          <w:tcPr>
            <w:tcW w:type="dxa" w:w="2736"/>
            <w:vAlign w:val="center"/>
            <w:shd w:fill="173A4B"/>
            <w:tcMar>
              <w:top w:w="90" w:type="dxa"/>
              <w:bottom w:w="90" w:type="dxa"/>
              <w:left w:w="95" w:type="dxa"/>
              <w:right w:w="95" w:type="dxa"/>
            </w:tcMar>
          </w:tcPr>
          <w:p>
            <w:pPr>
              <w:keepNext/>
              <w:spacing w:after="0" w:line="257" w:lineRule="auto"/>
            </w:pPr>
            <w:r>
              <w:rPr>
                <w:b/>
                <w:color w:val="FFFFFF"/>
                <w:sz w:val="18"/>
              </w:rPr>
              <w:t>Completion state</w:t>
            </w:r>
          </w:p>
        </w:tc>
      </w:tr>
      <w:tr>
        <w:trPr>
          <w:cantSplit/>
        </w:trPr>
        <w:tc>
          <w:tcPr>
            <w:tcW w:type="dxa" w:w="2045"/>
            <w:vAlign w:val="center"/>
            <w:shd w:fill="F0F5F5"/>
            <w:tcMar>
              <w:top w:w="90" w:type="dxa"/>
              <w:bottom w:w="90" w:type="dxa"/>
              <w:left w:w="95" w:type="dxa"/>
              <w:right w:w="95" w:type="dxa"/>
            </w:tcMar>
          </w:tcPr>
          <w:p>
            <w:pPr>
              <w:keepNext/>
              <w:spacing w:after="0" w:line="257" w:lineRule="auto"/>
            </w:pPr>
            <w:r>
              <w:rPr>
                <w:b w:val="0"/>
                <w:color w:val="112534"/>
                <w:sz w:val="18"/>
              </w:rPr>
              <w:t>Explore</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Find a personally interesting scientific question</w:t>
            </w:r>
          </w:p>
        </w:tc>
        <w:tc>
          <w:tcPr>
            <w:tcW w:type="dxa" w:w="2707"/>
            <w:vAlign w:val="center"/>
            <w:shd w:fill="F0F5F5"/>
            <w:tcMar>
              <w:top w:w="90" w:type="dxa"/>
              <w:bottom w:w="90" w:type="dxa"/>
              <w:left w:w="95" w:type="dxa"/>
              <w:right w:w="95" w:type="dxa"/>
            </w:tcMar>
          </w:tcPr>
          <w:p>
            <w:pPr>
              <w:keepNext/>
              <w:spacing w:after="0" w:line="257" w:lineRule="auto"/>
            </w:pPr>
            <w:r>
              <w:rPr>
                <w:b w:val="0"/>
                <w:color w:val="112534"/>
                <w:sz w:val="18"/>
              </w:rPr>
              <w:t>Choose “rhythm to stroke,” “stress to heart,” or “pressure to brain”</w:t>
            </w:r>
          </w:p>
        </w:tc>
        <w:tc>
          <w:tcPr>
            <w:tcW w:type="dxa" w:w="2736"/>
            <w:vAlign w:val="center"/>
            <w:shd w:fill="F0F5F5"/>
            <w:tcMar>
              <w:top w:w="90" w:type="dxa"/>
              <w:bottom w:w="90" w:type="dxa"/>
              <w:left w:w="95" w:type="dxa"/>
              <w:right w:w="95" w:type="dxa"/>
            </w:tcMar>
          </w:tcPr>
          <w:p>
            <w:pPr>
              <w:keepNext/>
              <w:spacing w:after="0" w:line="257" w:lineRule="auto"/>
            </w:pPr>
            <w:r>
              <w:rPr>
                <w:b w:val="0"/>
                <w:color w:val="112534"/>
                <w:sz w:val="18"/>
              </w:rPr>
              <w:t>Understand one connection and its evidence boundary</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Connection Atlas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Navigate mechanisms and conditions</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Select a node or a directional pathway</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Open a plain-language explanation, evidence, and unanswered questions</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Evidence Lab</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Compare claims and studies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Filter by population, intervention, design, endpoint, and result</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Save or export a cited comparison</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Signal Studio</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Learn what measurements reveal</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Toggle synchronized synthetic streams and confounders</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Identify what can and cannot be inferred</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Innovation Map</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Understand companies and market needs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Filter by mechanism, indication, maturity, and business role</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Compare a relevant set without confusing approval with efficacy</w:t>
            </w:r>
          </w:p>
        </w:tc>
      </w:tr>
      <w:tr>
        <w:trPr>
          <w:cantSplit/>
        </w:trPr>
        <w:tc>
          <w:tcPr>
            <w:tcW w:type="dxa" w:w="2045"/>
            <w:vAlign w:val="center"/>
            <w:shd w:fill="FFFFFF"/>
            <w:tcMar>
              <w:top w:w="90" w:type="dxa"/>
              <w:bottom w:w="90" w:type="dxa"/>
              <w:left w:w="95" w:type="dxa"/>
              <w:right w:w="95" w:type="dxa"/>
            </w:tcMar>
          </w:tcPr>
          <w:p>
            <w:pPr>
              <w:spacing w:after="0" w:line="257" w:lineRule="auto"/>
            </w:pPr>
            <w:r>
              <w:rPr>
                <w:b w:val="0"/>
                <w:color w:val="112534"/>
                <w:sz w:val="18"/>
              </w:rPr>
              <w:t>Research Notebook</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Turn curiosity into a useful question</w:t>
            </w:r>
          </w:p>
        </w:tc>
        <w:tc>
          <w:tcPr>
            <w:tcW w:type="dxa" w:w="2707"/>
            <w:vAlign w:val="center"/>
            <w:shd w:fill="FFFFFF"/>
            <w:tcMar>
              <w:top w:w="90" w:type="dxa"/>
              <w:bottom w:w="90" w:type="dxa"/>
              <w:left w:w="95" w:type="dxa"/>
              <w:right w:w="95" w:type="dxa"/>
            </w:tcMar>
          </w:tcPr>
          <w:p>
            <w:pPr>
              <w:spacing w:after="0" w:line="257" w:lineRule="auto"/>
            </w:pPr>
            <w:r>
              <w:rPr>
                <w:b w:val="0"/>
                <w:color w:val="112534"/>
                <w:sz w:val="18"/>
              </w:rPr>
              <w:t>Save evidence and complete a hypothesis template</w:t>
            </w:r>
          </w:p>
        </w:tc>
        <w:tc>
          <w:tcPr>
            <w:tcW w:type="dxa" w:w="2736"/>
            <w:vAlign w:val="center"/>
            <w:shd w:fill="FFFFFF"/>
            <w:tcMar>
              <w:top w:w="90" w:type="dxa"/>
              <w:bottom w:w="90" w:type="dxa"/>
              <w:left w:w="95" w:type="dxa"/>
              <w:right w:w="95" w:type="dxa"/>
            </w:tcMar>
          </w:tcPr>
          <w:p>
            <w:pPr>
              <w:spacing w:after="0" w:line="257" w:lineRule="auto"/>
            </w:pPr>
            <w:r>
              <w:rPr>
                <w:b w:val="0"/>
                <w:color w:val="112534"/>
                <w:sz w:val="18"/>
              </w:rPr>
              <w:t>Export a cited research brief</w:t>
            </w:r>
          </w:p>
        </w:tc>
      </w:tr>
      <w:tr>
        <w:trPr>
          <w:cantSplit/>
        </w:trPr>
        <w:tc>
          <w:tcPr>
            <w:tcW w:type="dxa" w:w="2045"/>
            <w:vAlign w:val="center"/>
            <w:shd w:fill="F0F5F5"/>
            <w:tcMar>
              <w:top w:w="90" w:type="dxa"/>
              <w:bottom w:w="90" w:type="dxa"/>
              <w:left w:w="95" w:type="dxa"/>
              <w:right w:w="95" w:type="dxa"/>
            </w:tcMar>
          </w:tcPr>
          <w:p>
            <w:pPr>
              <w:spacing w:after="0" w:line="257" w:lineRule="auto"/>
            </w:pPr>
            <w:r>
              <w:rPr>
                <w:b w:val="0"/>
                <w:color w:val="112534"/>
                <w:sz w:val="18"/>
              </w:rPr>
              <w:t>About and Methods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Understand trust and limitations</w:t>
            </w:r>
          </w:p>
        </w:tc>
        <w:tc>
          <w:tcPr>
            <w:tcW w:type="dxa" w:w="2707"/>
            <w:vAlign w:val="center"/>
            <w:shd w:fill="F0F5F5"/>
            <w:tcMar>
              <w:top w:w="90" w:type="dxa"/>
              <w:bottom w:w="90" w:type="dxa"/>
              <w:left w:w="95" w:type="dxa"/>
              <w:right w:w="95" w:type="dxa"/>
            </w:tcMar>
          </w:tcPr>
          <w:p>
            <w:pPr>
              <w:spacing w:after="0" w:line="257" w:lineRule="auto"/>
            </w:pPr>
            <w:r>
              <w:rPr>
                <w:b w:val="0"/>
                <w:color w:val="112534"/>
                <w:sz w:val="18"/>
              </w:rPr>
              <w:t>Inspect source policy, review dates, corrections, and disclosures</w:t>
            </w:r>
          </w:p>
        </w:tc>
        <w:tc>
          <w:tcPr>
            <w:tcW w:type="dxa" w:w="2736"/>
            <w:vAlign w:val="center"/>
            <w:shd w:fill="F0F5F5"/>
            <w:tcMar>
              <w:top w:w="90" w:type="dxa"/>
              <w:bottom w:w="90" w:type="dxa"/>
              <w:left w:w="95" w:type="dxa"/>
              <w:right w:w="95" w:type="dxa"/>
            </w:tcMar>
          </w:tcPr>
          <w:p>
            <w:pPr>
              <w:spacing w:after="0" w:line="257" w:lineRule="auto"/>
            </w:pPr>
            <w:r>
              <w:rPr>
                <w:b w:val="0"/>
                <w:color w:val="112534"/>
                <w:sz w:val="18"/>
              </w:rPr>
              <w:t>Know who maintains the content and what the Site does</w:t>
            </w:r>
          </w:p>
        </w:tc>
      </w:tr>
    </w:tbl>
    <w:p>
      <w:pPr>
        <w:spacing w:after="20"/>
      </w:pPr>
    </w:p>
    <w:p>
      <w:r>
        <w:t>“Save” and “export” must work if displayed. Anonymous local saving is a reasonable first release. Account-based persistence requires an actual implemented account system and a clear privacy model.</w:t>
      </w:r>
    </w:p>
    <w:p>
      <w:pPr>
        <w:pStyle w:val="Heading2"/>
      </w:pPr>
      <w:r>
        <w:t>Three guided journeys</w:t>
      </w:r>
    </w:p>
    <w:p>
      <w:r/>
      <w:r>
        <w:rPr>
          <w:b/>
        </w:rPr>
        <w:t>Journey 1: Can a heart rhythm change the future of the brain?</w:t>
      </w:r>
      <w:r>
        <w:t xml:space="preserve"> Start with an irregular rhythm, show atrial thrombus and embolic stroke pathways, then explain why device-detected episodes differ from clinical AF. Compare ARTESiA, NOAH-AFNET 6, and ARCADIA by population and endpoint. End with “What does the evidence support, and what remains uncertain?” </w:t>
      </w:r>
      <w:r>
        <w:rPr>
          <w:sz w:val="19"/>
        </w:rPr>
        <w:t>[</w:t>
      </w:r>
      <w:hyperlink w:anchor="ref9">
        <w:r>
          <w:rPr>
            <w:color w:val="205F68"/>
            <w:sz w:val="19"/>
          </w:rPr>
          <w:t>9</w:t>
        </w:r>
      </w:hyperlink>
      <w:r>
        <w:rPr>
          <w:sz w:val="19"/>
        </w:rPr>
        <w:t xml:space="preserve">, </w:t>
      </w:r>
      <w:hyperlink w:anchor="ref10">
        <w:r>
          <w:rPr>
            <w:color w:val="205F68"/>
            <w:sz w:val="19"/>
          </w:rPr>
          <w:t>10</w:t>
        </w:r>
      </w:hyperlink>
      <w:r>
        <w:rPr>
          <w:sz w:val="19"/>
        </w:rPr>
        <w:t xml:space="preserve">, </w:t>
      </w:r>
      <w:hyperlink w:anchor="ref11">
        <w:r>
          <w:rPr>
            <w:color w:val="205F68"/>
            <w:sz w:val="19"/>
          </w:rPr>
          <w:t>11</w:t>
        </w:r>
      </w:hyperlink>
      <w:r>
        <w:rPr>
          <w:sz w:val="19"/>
        </w:rPr>
        <w:t>]</w:t>
      </w:r>
      <w:r/>
    </w:p>
    <w:p>
      <w:r/>
      <w:r>
        <w:rPr>
          <w:b/>
        </w:rPr>
        <w:t>Journey 2: Why does stress feel physical?</w:t>
      </w:r>
      <w:r>
        <w:t xml:space="preserve"> Begin with a familiar racing-heart experience. Reveal brain-to-heart autonomic signaling, then heart-to-brain perception and experimental feedback. Separate everyday changes, clinical stress-related phenomena, and animal research. End with a signal-literacy exercise rather than a personal stress diagnosis. </w:t>
      </w:r>
      <w:r>
        <w:rPr>
          <w:sz w:val="19"/>
        </w:rPr>
        <w:t>[</w:t>
      </w:r>
      <w:hyperlink w:anchor="ref15">
        <w:r>
          <w:rPr>
            <w:color w:val="205F68"/>
            <w:sz w:val="19"/>
          </w:rPr>
          <w:t>15</w:t>
        </w:r>
      </w:hyperlink>
      <w:r>
        <w:rPr>
          <w:sz w:val="19"/>
        </w:rPr>
        <w:t xml:space="preserve">, </w:t>
      </w:r>
      <w:hyperlink w:anchor="ref16">
        <w:r>
          <w:rPr>
            <w:color w:val="205F68"/>
            <w:sz w:val="19"/>
          </w:rPr>
          <w:t>16</w:t>
        </w:r>
      </w:hyperlink>
      <w:r>
        <w:rPr>
          <w:sz w:val="19"/>
        </w:rPr>
        <w:t xml:space="preserve">, </w:t>
      </w:r>
      <w:hyperlink w:anchor="ref17">
        <w:r>
          <w:rPr>
            <w:color w:val="205F68"/>
            <w:sz w:val="19"/>
          </w:rPr>
          <w:t>17</w:t>
        </w:r>
      </w:hyperlink>
      <w:r>
        <w:rPr>
          <w:sz w:val="19"/>
        </w:rPr>
        <w:t>]</w:t>
      </w:r>
      <w:r/>
    </w:p>
    <w:p>
      <w:r/>
      <w:r>
        <w:rPr>
          <w:b/>
        </w:rPr>
        <w:t>Journey 3: Can protecting blood vessels also protect the brain?</w:t>
      </w:r>
      <w:r>
        <w:t xml:space="preserve"> Connect blood pressure, small-vessel injury, cognition, and prevention evidence. Compare SPRINT MIND with the 2025 community hypertension intervention. Show that trial context and implementation are part of the result. End with questions someone could discuss with a qualified clinician. </w:t>
      </w:r>
      <w:r>
        <w:rPr>
          <w:sz w:val="19"/>
        </w:rPr>
        <w:t>[</w:t>
      </w:r>
      <w:hyperlink w:anchor="ref18">
        <w:r>
          <w:rPr>
            <w:color w:val="205F68"/>
            <w:sz w:val="19"/>
          </w:rPr>
          <w:t>18</w:t>
        </w:r>
      </w:hyperlink>
      <w:r>
        <w:rPr>
          <w:sz w:val="19"/>
        </w:rPr>
        <w:t xml:space="preserve">, </w:t>
      </w:r>
      <w:hyperlink w:anchor="ref19">
        <w:r>
          <w:rPr>
            <w:color w:val="205F68"/>
            <w:sz w:val="19"/>
          </w:rPr>
          <w:t>19</w:t>
        </w:r>
      </w:hyperlink>
      <w:r>
        <w:rPr>
          <w:sz w:val="19"/>
        </w:rPr>
        <w:t>]</w:t>
      </w:r>
      <w:r/>
    </w:p>
    <w:p>
      <w:r>
        <w:t>Each journey should have a roughly 90-second overview and optional five-minute expansion. These are design targets; actual completion time must be measured after implementation.</w:t>
      </w:r>
    </w:p>
    <w:p>
      <w:bookmarkStart w:id="21" w:name="ch21"/>
      <w:pPr>
        <w:pStyle w:val="Heading1"/>
        <w:pageBreakBefore w:val="0"/>
      </w:pPr>
      <w:r>
        <w:t>21 / Visual and interaction design</w:t>
      </w:r>
      <w:bookmarkEnd w:id="21"/>
    </w:p>
    <w:p>
      <w:pPr>
        <w:pStyle w:val="Heading2"/>
      </w:pPr>
      <w:r>
        <w:t>A distinctive, usable visual language</w:t>
      </w:r>
    </w:p>
    <w:p>
      <w:r>
        <w:t>Use a deep ink background for the immersive atlas and warm ivory for longer reading. Teal represents neural pathways, coral represents cardiac or vascular pathways, and violet marks shared or emerging connections. Pair every color with text and shape so meaning never depends on color alone. Keep headings crisp and confident; use readable body type rather than tiny dashboard labels.</w:t>
      </w:r>
    </w:p>
    <w:p>
      <w:r>
        <w:t>The core visual is a stylized anatomical constellation, with a recognizable brain, heart, major pathways, and selectable condition nodes. It should reveal one meaningful path at a time. A restrained particle pulse can communicate direction; it must stop when motion is reduced. The graph should support a fully equivalent list view.</w:t>
      </w:r>
    </w:p>
    <w:p>
      <w:r>
        <w:t>Depth and optional 3D can help explain anatomy, but should not dominate navigation. A visitor should never need to rotate an object to find a source or complete a task. Default to fast-loading 2D or 2.5D artwork; add richer rendering only when it improves comprehension and works on target devices.</w:t>
      </w:r>
    </w:p>
    <w:p>
      <w:pPr>
        <w:pStyle w:val="Heading2"/>
      </w:pPr>
      <w:r>
        <w:t>The connection detail panel</w:t>
      </w:r>
    </w:p>
    <w:p>
      <w:r>
        <w:t xml:space="preserve">Selecting a connection opens a stable side panel with five layers: </w:t>
      </w:r>
      <w:r>
        <w:rPr>
          <w:b/>
        </w:rPr>
        <w:t>what happens</w:t>
      </w:r>
      <w:r>
        <w:t xml:space="preserve">, </w:t>
      </w:r>
      <w:r>
        <w:rPr>
          <w:b/>
        </w:rPr>
        <w:t>why it matters</w:t>
      </w:r>
      <w:r>
        <w:t xml:space="preserve">, </w:t>
      </w:r>
      <w:r>
        <w:rPr>
          <w:b/>
        </w:rPr>
        <w:t>what supports it</w:t>
      </w:r>
      <w:r>
        <w:t xml:space="preserve">, </w:t>
      </w:r>
      <w:r>
        <w:rPr>
          <w:b/>
        </w:rPr>
        <w:t>what is unresolved</w:t>
      </w:r>
      <w:r>
        <w:t xml:space="preserve">, and </w:t>
      </w:r>
      <w:r>
        <w:rPr>
          <w:b/>
        </w:rPr>
        <w:t>where innovation could help</w:t>
      </w:r>
      <w:r>
        <w:t>. The first layer should be readable in under a minute. The deeper layers retain full methodological detail.</w:t>
      </w:r>
    </w:p>
    <w:p>
      <w:r>
        <w:t>For “stress → heart rhythm,” the panel might show neural modulation, context-sensitive effects, and distinct clinical conditions. For “ECG → nervous system,” it must correct the premise: ECG measures cardiac electrical activity; some derived features can help investigate autonomic regulation under controlled conditions.</w:t>
      </w:r>
    </w:p>
    <w:p>
      <w:pPr>
        <w:pStyle w:val="Heading2"/>
      </w:pPr>
      <w:r>
        <w:t>Evidence should be visible in the design</w:t>
      </w:r>
    </w:p>
    <w:p>
      <w:r>
        <w:t xml:space="preserve">Use textual badges such as </w:t>
      </w:r>
      <w:r>
        <w:rPr>
          <w:b/>
        </w:rPr>
        <w:t>randomized trial</w:t>
      </w:r>
      <w:r>
        <w:t xml:space="preserve">, </w:t>
      </w:r>
      <w:r>
        <w:rPr>
          <w:b/>
        </w:rPr>
        <w:t>observational</w:t>
      </w:r>
      <w:r>
        <w:t xml:space="preserve">, </w:t>
      </w:r>
      <w:r>
        <w:rPr>
          <w:b/>
        </w:rPr>
        <w:t>mechanistic animal study</w:t>
      </w:r>
      <w:r>
        <w:t xml:space="preserve">, </w:t>
      </w:r>
      <w:r>
        <w:rPr>
          <w:b/>
        </w:rPr>
        <w:t>regulatory record</w:t>
      </w:r>
      <w:r>
        <w:t xml:space="preserve">, and </w:t>
      </w:r>
      <w:r>
        <w:rPr>
          <w:b/>
        </w:rPr>
        <w:t>company announcement</w:t>
      </w:r>
      <w:r>
        <w:t>. Separately show result status: positive for the stated endpoint, neutral, mixed, or unresolved. Separately again show product status: approved for a specified use, investigational, or consumer product. These dimensions must not collapse into a single “trusted” score.</w:t>
      </w:r>
    </w:p>
    <w:p>
      <w:pPr>
        <w:keepNext/>
        <w:spacing w:after="100"/>
      </w:pPr>
      <w:r>
        <w:drawing>
          <wp:inline xmlns:a="http://schemas.openxmlformats.org/drawingml/2006/main" xmlns:pic="http://schemas.openxmlformats.org/drawingml/2006/picture">
            <wp:extent cx="6492240" cy="4828604"/>
            <wp:docPr id="4" name="Picture 4" descr="Figure 3. Proposed Evidence Lab comparison. The full implementation would expose trial eligibility, methods, absolute effects, harms, and linked sources. Illustrated studies: references 9–11."/>
            <wp:cNvGraphicFramePr>
              <a:graphicFrameLocks noChangeAspect="1"/>
            </wp:cNvGraphicFramePr>
            <a:graphic>
              <a:graphicData uri="http://schemas.openxmlformats.org/drawingml/2006/picture">
                <pic:pic>
                  <pic:nvPicPr>
                    <pic:cNvPr id="0" name="evidence.png"/>
                    <pic:cNvPicPr/>
                  </pic:nvPicPr>
                  <pic:blipFill>
                    <a:blip r:embed="rId14"/>
                    <a:stretch>
                      <a:fillRect/>
                    </a:stretch>
                  </pic:blipFill>
                  <pic:spPr>
                    <a:xfrm>
                      <a:off x="0" y="0"/>
                      <a:ext cx="6492240" cy="4828604"/>
                    </a:xfrm>
                    <a:prstGeom prst="rect"/>
                  </pic:spPr>
                </pic:pic>
              </a:graphicData>
            </a:graphic>
          </wp:inline>
        </w:drawing>
      </w:r>
    </w:p>
    <w:p>
      <w:pPr>
        <w:pStyle w:val="Caption"/>
      </w:pPr>
      <w:r>
        <w:t>Figure 3. Proposed Evidence Lab comparison. The full implementation would expose trial eligibility, methods, absolute effects, harms, and linked sources. Illustrated studies: references 9–11.</w:t>
      </w:r>
    </w:p>
    <w:p>
      <w:r>
        <w:t>A comparison panel should align population, intervention, comparator, primary outcome, follow-up, and limitation. Negative trials deserve the same visual weight as positive ones. Every study card should provide a direct source link and a reviewed date.</w:t>
      </w:r>
    </w:p>
    <w:p>
      <w:pPr>
        <w:pStyle w:val="Heading2"/>
      </w:pPr>
      <w:r>
        <w:t>Microinteractions that serve understanding</w:t>
      </w:r>
    </w:p>
    <w:p>
      <w:pPr>
        <w:pStyle w:val="ListBullet"/>
      </w:pPr>
      <w:r>
        <w:t>A pathway pulse follows the direction selected by the visitor and changes the explanatory text.</w:t>
      </w:r>
    </w:p>
    <w:p>
      <w:pPr>
        <w:pStyle w:val="ListBullet"/>
      </w:pPr>
      <w:r>
        <w:t>A confounder toggle in Signal Studio shows how movement, breathing, or poor contact changes an illustrative signal.</w:t>
      </w:r>
    </w:p>
    <w:p>
      <w:pPr>
        <w:pStyle w:val="ListBullet"/>
      </w:pPr>
      <w:r>
        <w:t>An evidence-depth control moves from summary to methods without losing the selected connection.</w:t>
      </w:r>
    </w:p>
    <w:p>
      <w:pPr>
        <w:pStyle w:val="ListBullet"/>
      </w:pPr>
      <w:r>
        <w:t>A timeline filter distinguishes study publication from regulatory or business milestones.</w:t>
      </w:r>
    </w:p>
    <w:p>
      <w:pPr>
        <w:pStyle w:val="ListBullet"/>
      </w:pPr>
      <w:r>
        <w:t>A comparison tray retains selected studies while the visitor explores other pages.</w:t>
      </w:r>
    </w:p>
    <w:p>
      <w:pPr>
        <w:pStyle w:val="ListBullet"/>
      </w:pPr>
      <w:r>
        <w:t>A “what would change our view?” panel turns an uncertainty into a specific research question.</w:t>
      </w:r>
    </w:p>
    <w:p>
      <w:r>
        <w:t>Avoid fabricated live counters, unexplained composite health scores, autoplay sound, achievement badges for disease risk, and interactions that simply reveal decorative text. Delight should come from understanding something previously confusing.</w:t>
      </w:r>
    </w:p>
    <w:p>
      <w:pPr>
        <w:pStyle w:val="Heading2"/>
      </w:pPr>
      <w:r>
        <w:t>Accessibility and responsive behavior</w:t>
      </w:r>
    </w:p>
    <w:p>
      <w:r>
        <w:t>Design for keyboard navigation, visible focus, meaningful headings, non-color state indicators, reduced motion, scalable text, and screen-reader descriptions of diagrams. Test the rendered product against an appropriate accessibility standard before claiming conformance. Use touch targets of at least 44 CSS pixels as a design target and body text around 18 CSS pixels where practical.</w:t>
      </w:r>
    </w:p>
    <w:p>
      <w:r>
        <w:t>On mobile, replace the broad constellation with a focused pathway and a scrollable sequence of explanation cards. Keep the source drawer accessible, preserve comparison state, and avoid nested horizontal scrolling. Performance targets should be measured on a representative mobile device and network, not inferred from a desktop preview.</w:t>
      </w:r>
    </w:p>
    <w:p>
      <w:bookmarkStart w:id="22" w:name="ch22"/>
      <w:pPr>
        <w:pStyle w:val="Heading1"/>
        <w:pageBreakBefore w:val="0"/>
      </w:pPr>
      <w:r>
        <w:t>22 / Grounded AI and editorial governance</w:t>
      </w:r>
      <w:bookmarkEnd w:id="22"/>
    </w:p>
    <w:p>
      <w:pPr>
        <w:pStyle w:val="Heading2"/>
      </w:pPr>
      <w:r>
        <w:t>AI should answer from a maintained evidence collection</w:t>
      </w:r>
    </w:p>
    <w:p>
      <w:r>
        <w:t>The GPT experience should retrieve from approved content records and provide citations that actually support each substantive claim. It should distinguish a source’s finding from Neurocardia’s interpretation. When the collection does not answer a question, it should say what is missing and offer an appropriate evidence search or a narrower question.</w:t>
      </w:r>
    </w:p>
    <w:p>
      <w:r>
        <w:t>For clinical questions, the experience should explain evidence and help formulate questions for professional care. It should not generate personalized diagnoses, treatment changes, or unsupported risk scores. Emergency-related language should use a reviewed response that directs urgent care appropriately; the Site must not imply continuous monitoring or emergency response capability.</w:t>
      </w:r>
    </w:p>
    <w:p>
      <w:pPr>
        <w:pStyle w:val="Heading2"/>
      </w:pPr>
      <w:r>
        <w:t>The minimum evidence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cantSplit/>
          <w:tblHeader/>
        </w:trPr>
        <w:tc>
          <w:tcPr>
            <w:tcW w:type="dxa" w:w="2952"/>
            <w:vAlign w:val="center"/>
            <w:shd w:fill="173A4B"/>
            <w:tcMar>
              <w:top w:w="90" w:type="dxa"/>
              <w:bottom w:w="90" w:type="dxa"/>
              <w:left w:w="95" w:type="dxa"/>
              <w:right w:w="95" w:type="dxa"/>
            </w:tcMar>
          </w:tcPr>
          <w:p>
            <w:pPr>
              <w:keepNext/>
              <w:spacing w:after="0" w:line="257" w:lineRule="auto"/>
            </w:pPr>
            <w:r>
              <w:rPr>
                <w:b/>
                <w:color w:val="FFFFFF"/>
                <w:sz w:val="19"/>
              </w:rPr>
              <w:t>Field</w:t>
            </w:r>
          </w:p>
        </w:tc>
        <w:tc>
          <w:tcPr>
            <w:tcW w:type="dxa" w:w="7272"/>
            <w:vAlign w:val="center"/>
            <w:shd w:fill="173A4B"/>
            <w:tcMar>
              <w:top w:w="90" w:type="dxa"/>
              <w:bottom w:w="90" w:type="dxa"/>
              <w:left w:w="95" w:type="dxa"/>
              <w:right w:w="95" w:type="dxa"/>
            </w:tcMar>
          </w:tcPr>
          <w:p>
            <w:pPr>
              <w:keepNext/>
              <w:spacing w:after="0" w:line="257" w:lineRule="auto"/>
            </w:pPr>
            <w:r>
              <w:rPr>
                <w:b/>
                <w:color w:val="FFFFFF"/>
                <w:sz w:val="19"/>
              </w:rPr>
              <w:t>Purpose</w:t>
            </w:r>
          </w:p>
        </w:tc>
      </w:tr>
      <w:tr>
        <w:trPr>
          <w:cantSplit/>
        </w:trPr>
        <w:tc>
          <w:tcPr>
            <w:tcW w:type="dxa" w:w="2952"/>
            <w:vAlign w:val="center"/>
            <w:shd w:fill="F0F5F5"/>
            <w:tcMar>
              <w:top w:w="90" w:type="dxa"/>
              <w:bottom w:w="90" w:type="dxa"/>
              <w:left w:w="95" w:type="dxa"/>
              <w:right w:w="95" w:type="dxa"/>
            </w:tcMar>
          </w:tcPr>
          <w:p>
            <w:pPr>
              <w:keepNext/>
              <w:spacing w:after="0" w:line="257" w:lineRule="auto"/>
            </w:pPr>
            <w:r>
              <w:rPr>
                <w:b w:val="0"/>
                <w:color w:val="112534"/>
                <w:sz w:val="19"/>
              </w:rPr>
              <w:t>Stable record and claim identifiers</w:t>
            </w:r>
          </w:p>
        </w:tc>
        <w:tc>
          <w:tcPr>
            <w:tcW w:type="dxa" w:w="7272"/>
            <w:vAlign w:val="center"/>
            <w:shd w:fill="F0F5F5"/>
            <w:tcMar>
              <w:top w:w="90" w:type="dxa"/>
              <w:bottom w:w="90" w:type="dxa"/>
              <w:left w:w="95" w:type="dxa"/>
              <w:right w:w="95" w:type="dxa"/>
            </w:tcMar>
          </w:tcPr>
          <w:p>
            <w:pPr>
              <w:keepNext/>
              <w:spacing w:after="0" w:line="257" w:lineRule="auto"/>
            </w:pPr>
            <w:r>
              <w:rPr>
                <w:b w:val="0"/>
                <w:color w:val="112534"/>
                <w:sz w:val="19"/>
              </w:rPr>
              <w:t>Keep links intact when wording changes</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Source title, author or organization, URL, and publication date</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Establish provenance</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Study design, population, sample size where verified, and setting</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Define applicability</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Intervention or exposure, comparator, endpoint, and follow-up</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Identify what was actually tested</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Result, uncertainty, and limitations</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Prevent a headline from replacing the finding</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Evidence type and species</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Separate human outcomes from animal mechanisms</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Product indication, geography, and regulatory record where relevant</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Prevent cross-indication generalization</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Event status and verification date</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Keep announced and completed transactions distinct</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Editorial owner, review history, and conflicts</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Make maintenance accountable</w:t>
            </w:r>
          </w:p>
        </w:tc>
      </w:tr>
    </w:tbl>
    <w:p>
      <w:pPr>
        <w:spacing w:after="20"/>
      </w:pPr>
    </w:p>
    <w:p>
      <w:r>
        <w:t>A claim can link to multiple sources, and a source can support multiple bounded claims. A correction should update the visible page and preserve an internal change history. High-impact trial or regulatory changes should trigger review of all dependent pages.</w:t>
      </w:r>
    </w:p>
    <w:p>
      <w:pPr>
        <w:pStyle w:val="Heading2"/>
      </w:pPr>
      <w:r>
        <w:t>Useful assistant prompts</w:t>
      </w:r>
    </w:p>
    <w:p>
      <w:r>
        <w:t>“Show me how the heart can influence the brain, with the strongest human evidence first.” “Compare the major trials on short device-detected atrial arrhythmias.” “Which connections are established physiology but still lack an effective intervention?” “What would a good study need to prove before an EEG feature could guide cardiac care?” “Which companies are commercial, and which are still testing a hypothesis?”</w:t>
      </w:r>
    </w:p>
    <w:p>
      <w:r>
        <w:t>Answers should be concise by default, with optional methods and source expansion. A response generated from a curated collection is only as current as that collection; the interface should show the review date and avoid an unsupported “live” claim.</w:t>
      </w:r>
    </w:p>
    <w:p>
      <w:pPr>
        <w:pStyle w:val="Heading2"/>
      </w:pPr>
      <w:r>
        <w:t>Privacy and intended use</w:t>
      </w:r>
    </w:p>
    <w:p>
      <w:r>
        <w:t>The first release should not require personal health data. Signal Studio should use labeled synthetic examples. Saved research notes can remain local to the browser unless the user explicitly chooses an implemented account feature. Analytics should avoid collecting health narratives or unnecessarily identifying visitors.</w:t>
      </w:r>
    </w:p>
    <w:p>
      <w:r>
        <w:t xml:space="preserve">A later research or clinical workspace needs its own consent, access controls, retention policy, data agreements, and intended-use assessment. HHS explains that HIPAA applicability depends on the parties and relationships involved; a health-related app is not automatically covered. FDA guidance similarly distinguishes general wellness and clinical decision-support contexts. An educational label alone cannot neutralize functionality that makes regulated clinical claims. </w:t>
      </w:r>
      <w:r>
        <w:rPr>
          <w:sz w:val="19"/>
        </w:rPr>
        <w:t>[</w:t>
      </w:r>
      <w:hyperlink w:anchor="ref65">
        <w:r>
          <w:rPr>
            <w:color w:val="205F68"/>
            <w:sz w:val="19"/>
          </w:rPr>
          <w:t>65</w:t>
        </w:r>
      </w:hyperlink>
      <w:r>
        <w:rPr>
          <w:sz w:val="19"/>
        </w:rPr>
        <w:t xml:space="preserve">, </w:t>
      </w:r>
      <w:hyperlink w:anchor="ref66">
        <w:r>
          <w:rPr>
            <w:color w:val="205F68"/>
            <w:sz w:val="19"/>
          </w:rPr>
          <w:t>66</w:t>
        </w:r>
      </w:hyperlink>
      <w:r>
        <w:rPr>
          <w:sz w:val="19"/>
        </w:rPr>
        <w:t xml:space="preserve">, </w:t>
      </w:r>
      <w:hyperlink w:anchor="ref67">
        <w:r>
          <w:rPr>
            <w:color w:val="205F68"/>
            <w:sz w:val="19"/>
          </w:rPr>
          <w:t>67</w:t>
        </w:r>
      </w:hyperlink>
      <w:r>
        <w:rPr>
          <w:sz w:val="19"/>
        </w:rPr>
        <w:t>]</w:t>
      </w:r>
      <w:r/>
    </w:p>
    <w:p>
      <w:r>
        <w:t>These are product-planning boundaries, not a legal determination of a future implementation. Regulatory review should evaluate the actual functions, users, claims, and deployment setting before clinical functionality is introduced.</w:t>
      </w:r>
    </w:p>
    <w:p>
      <w:bookmarkStart w:id="23" w:name="ch23"/>
      <w:pPr>
        <w:pStyle w:val="Heading1"/>
        <w:pageBreakBefore w:val="0"/>
      </w:pPr>
      <w:r>
        <w:t>23 / Delivery plan and acceptance criteria</w:t>
      </w:r>
      <w:bookmarkEnd w:id="23"/>
    </w:p>
    <w:p>
      <w:pPr>
        <w:pStyle w:val="Heading2"/>
      </w:pPr>
      <w:r>
        <w:t>Phase 1 — Define and build the evidence foundation, days 1–30</w:t>
      </w:r>
    </w:p>
    <w:p>
      <w:r>
        <w:t>Confirm the authorized Neurocardia brand and project. Reuse an existing authorized Site if available; the recovered business plan does not establish a live service or intellectual-property rights.</w:t>
      </w:r>
    </w:p>
    <w:p>
      <w:r>
        <w:t>Create the content model, validate the first set of claims, and design the atlas and evidence-card system. Proposed starting inventory: 18 pathway records, 50 evidence records, approximately 20 company profiles, and 12–15 milestone records. These are launch-scope targets, not a statement that a Site already contains them.</w:t>
      </w:r>
    </w:p>
    <w:p>
      <w:r>
        <w:t>Complete customer interviews and choose one workflow for deeper investigation. Produce a functioning prototype with three guided journeys and real local save/export behavior. Do not add patient uploads, clinical prediction, or live integrations in this phase.</w:t>
      </w:r>
    </w:p>
    <w:p>
      <w:pPr>
        <w:pStyle w:val="Heading2"/>
      </w:pPr>
      <w:r>
        <w:t>Phase 2 — Build the full experience, days 31–60</w:t>
      </w:r>
    </w:p>
    <w:p>
      <w:r>
        <w:t>Implement all seven surfaces. Add grounded question answering once retrieval and citations work reliably. Conduct expert content review and usability sessions with non-specialist and professional users.</w:t>
      </w:r>
    </w:p>
    <w:p>
      <w:r>
        <w:t>Test keyboard use, reduced motion, mobile layouts, links, labels, persistence, and error states. Verify claim support and visitors’ understanding of evidence boundaries.</w:t>
      </w:r>
    </w:p>
    <w:p>
      <w:pPr>
        <w:pStyle w:val="Heading2"/>
      </w:pPr>
      <w:r>
        <w:t>Phase 3 — Refine, publish, and validate, days 61–90</w:t>
      </w:r>
    </w:p>
    <w:p>
      <w:r>
        <w:t>Resolve findings and assign editorial ownership. Publish to the approved destination and verify from a fresh visitor session. Record the release, source cutoff, limitations, and rollback procedure.</w:t>
      </w:r>
    </w:p>
    <w:p>
      <w:r>
        <w:t>In parallel, scope one research or workflow pilot with a named partner, baseline, endpoint, data-access plan, and decision criteria. Public launch and clinical-pilot authorization are separate decisions.</w:t>
      </w:r>
    </w:p>
    <w:p>
      <w:pPr>
        <w:pStyle w:val="Heading2"/>
      </w:pPr>
      <w:r>
        <w:t>Proposed acceptance checklist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cantSplit/>
          <w:tblHeader/>
        </w:trPr>
        <w:tc>
          <w:tcPr>
            <w:tcW w:type="dxa" w:w="2952"/>
            <w:vAlign w:val="center"/>
            <w:shd w:fill="173A4B"/>
            <w:tcMar>
              <w:top w:w="90" w:type="dxa"/>
              <w:bottom w:w="90" w:type="dxa"/>
              <w:left w:w="95" w:type="dxa"/>
              <w:right w:w="95" w:type="dxa"/>
            </w:tcMar>
          </w:tcPr>
          <w:p>
            <w:pPr>
              <w:keepNext/>
              <w:spacing w:after="0" w:line="257" w:lineRule="auto"/>
            </w:pPr>
            <w:r>
              <w:rPr>
                <w:b/>
                <w:color w:val="FFFFFF"/>
                <w:sz w:val="19"/>
              </w:rPr>
              <w:t>Dimension</w:t>
            </w:r>
          </w:p>
        </w:tc>
        <w:tc>
          <w:tcPr>
            <w:tcW w:type="dxa" w:w="7272"/>
            <w:vAlign w:val="center"/>
            <w:shd w:fill="173A4B"/>
            <w:tcMar>
              <w:top w:w="90" w:type="dxa"/>
              <w:bottom w:w="90" w:type="dxa"/>
              <w:left w:w="95" w:type="dxa"/>
              <w:right w:w="95" w:type="dxa"/>
            </w:tcMar>
          </w:tcPr>
          <w:p>
            <w:pPr>
              <w:keepNext/>
              <w:spacing w:after="0" w:line="257" w:lineRule="auto"/>
            </w:pPr>
            <w:r>
              <w:rPr>
                <w:b/>
                <w:color w:val="FFFFFF"/>
                <w:sz w:val="19"/>
              </w:rPr>
              <w:t>Required evidence before release</w:t>
            </w:r>
          </w:p>
        </w:tc>
      </w:tr>
      <w:tr>
        <w:trPr>
          <w:cantSplit/>
        </w:trPr>
        <w:tc>
          <w:tcPr>
            <w:tcW w:type="dxa" w:w="2952"/>
            <w:vAlign w:val="center"/>
            <w:shd w:fill="F0F5F5"/>
            <w:tcMar>
              <w:top w:w="90" w:type="dxa"/>
              <w:bottom w:w="90" w:type="dxa"/>
              <w:left w:w="95" w:type="dxa"/>
              <w:right w:w="95" w:type="dxa"/>
            </w:tcMar>
          </w:tcPr>
          <w:p>
            <w:pPr>
              <w:keepNext/>
              <w:spacing w:after="0" w:line="257" w:lineRule="auto"/>
            </w:pPr>
            <w:r>
              <w:rPr>
                <w:b w:val="0"/>
                <w:color w:val="112534"/>
                <w:sz w:val="19"/>
              </w:rPr>
              <w:t>Scientific accuracy</w:t>
            </w:r>
          </w:p>
        </w:tc>
        <w:tc>
          <w:tcPr>
            <w:tcW w:type="dxa" w:w="7272"/>
            <w:vAlign w:val="center"/>
            <w:shd w:fill="F0F5F5"/>
            <w:tcMar>
              <w:top w:w="90" w:type="dxa"/>
              <w:bottom w:w="90" w:type="dxa"/>
              <w:left w:w="95" w:type="dxa"/>
              <w:right w:w="95" w:type="dxa"/>
            </w:tcMar>
          </w:tcPr>
          <w:p>
            <w:pPr>
              <w:keepNext/>
              <w:spacing w:after="0" w:line="257" w:lineRule="auto"/>
            </w:pPr>
            <w:r>
              <w:rPr>
                <w:b w:val="0"/>
                <w:color w:val="112534"/>
                <w:sz w:val="19"/>
              </w:rPr>
              <w:t>ECG wording correct; directional pathways qualified; neutral trials visible; animal and human evidence separated</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Source integrity</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Every substantive medical claim linked to supporting records; dates and indications checked</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Functional quality</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Every displayed control works; save/export tested; no fake connected or live states</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AI behavior</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Citation-support audit, out-of-scope handling, uncertainty, and clinical-boundary tests completed</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Accessibility</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Keyboard and screen-reader checks, contrast measurement, reduced-motion behavior, mobile text review</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Usability</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Users can complete a journey, compare evidence, and explain one limitation without help</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Performance</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Measured load and interaction performance on representative mobile hardware and network</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Privacy</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No unintended personal-health collection; accurate privacy text; verified analytics configuration</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Publication</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Correct project identity and access scope; post-publication check; rollback available</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Operations</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Named editorial owner, review cadence, correction route, and source-update process</w:t>
            </w:r>
          </w:p>
        </w:tc>
      </w:tr>
    </w:tbl>
    <w:p>
      <w:pPr>
        <w:spacing w:after="20"/>
      </w:pPr>
    </w:p>
    <w:p>
      <w:r>
        <w:t>Suggested product measures include successful journey completion, evidence-card opening, citation use, comparison completion, saved questions, return visits, and qualified research inquiries. Avoid treating time on site as the primary success metric; confusion can also increase it.</w:t>
      </w:r>
    </w:p>
    <w:p>
      <w:bookmarkStart w:id="24" w:name="ch24"/>
      <w:pPr>
        <w:pStyle w:val="Heading1"/>
        <w:pageBreakBefore/>
      </w:pPr>
      <w:r>
        <w:t>24 / Copy-ready brief for the future Site build</w:t>
      </w:r>
      <w:bookmarkEnd w:id="24"/>
    </w:p>
    <w:p>
      <w:r/>
      <w:r>
        <w:rPr>
          <w:b/>
        </w:rPr>
        <w:t>Build Neurocardia as a premium, evidence-led GPT Site that helps visitors explore the bidirectional connections among the brain, nervous system, cardiovascular system, and heart. Use the accompanying state-of-market report and its source register as the initial research foundation. Preserve an existing authorized Neurocardia project if one is available; inspect it before creating a new project.</w:t>
      </w:r>
      <w:r/>
    </w:p>
    <w:p>
      <w:r>
        <w:t>Create an immediately interactive first screen built around a brain–heart connection atlas. Use deep ink, warm ivory, teal, coral, and restrained violet, with excellent typography, generous spacing, purposeful motion, and a fully usable mobile layout. Provide an accessible list alternative to every spatial diagram. Avoid a generic marketing landing page and avoid unsupported medical promises.</w:t>
      </w:r>
    </w:p>
    <w:p>
      <w:r>
        <w:t>Build seven coherent surfaces: Explore, Connection Atlas, Evidence Lab, Signal Studio, Innovation Map, Research Notebook, and About and Methods. Provide three complete guided journeys: rhythm to stroke, stress to heart, and blood pressure to brain health. Each needs a short overview, optional deeper explanation, source-linked evidence, uncertainties, and an actionable research question.</w:t>
      </w:r>
    </w:p>
    <w:p>
      <w:r>
        <w:t>The atlas must show direction and distinguish direct neural pathways from vascular, metabolic, and adjacent connections. Correct the physiology explicitly: ECG records cardiac electrical activity; nerves modulate cardiac behavior. Treat EEG, ECG, PPG, HRV, blood pressure, respiration, and electrodermal activity as distinct measurements with distinct limitations.</w:t>
      </w:r>
    </w:p>
    <w:p>
      <w:r>
        <w:t>The Evidence Lab must support functional filters, study comparison, direct source links, and saved records. Separate study design, result, product status, and commercial milestones. Include neutral or limiting evidence alongside positive results. Preserve the distinction among ARTESiA, NOAH-AFNET 6, ARCADIA, BRAIN-AF, SPRINT MIND, the community hypertension trial, BeAT-HF, and INOVATE-HF. Do not generalize outcomes beyond the populations and endpoints studied.</w:t>
      </w:r>
    </w:p>
    <w:p>
      <w:r>
        <w:t>Signal Studio must use explicitly labeled synthetic data, with working toggles for context and artifacts. The Innovation Map must distinguish commercial products, investigational programs, consumer offerings, and adjacent platforms. Transaction records must distinguish announcement from completion and show the verification date.</w:t>
      </w:r>
    </w:p>
    <w:p>
      <w:r>
        <w:t>Implement a Research Notebook that can save and export cited questions and study comparisons. If persistence is local only, say so. Add grounded question answering using the curated evidence collection, with claim-supporting citations, uncertainty, and graceful handling of questions outside the collection. Do not display fake live data, fake integrations, unvalidated personal risk scores, or clinical decision functionality.</w:t>
      </w:r>
    </w:p>
    <w:p>
      <w:r>
        <w:t>Before publication, complete scientific review, source verification, mobile and keyboard checks, reduced-motion testing, all-control interaction testing, citation-support tests, privacy review, and a fresh-session review of the published destination. Report what is implemented, tested, published, and still planned. Retain the Neurocardia identity and a clear path for future research partnerships.</w:t>
      </w:r>
    </w:p>
    <w:p>
      <w:bookmarkStart w:id="25" w:name="ch25"/>
      <w:pPr>
        <w:pStyle w:val="Heading1"/>
        <w:pageBreakBefore/>
      </w:pPr>
      <w:r>
        <w:t>Appendix A / Claims that need careful wording</w:t>
      </w:r>
      <w:bookmarkEnd w:id="2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52"/>
        <w:gridCol w:w="7272"/>
      </w:tblGrid>
      <w:tr>
        <w:trPr>
          <w:cantSplit/>
          <w:tblHeader/>
        </w:trPr>
        <w:tc>
          <w:tcPr>
            <w:tcW w:type="dxa" w:w="2952"/>
            <w:vAlign w:val="center"/>
            <w:shd w:fill="173A4B"/>
            <w:tcMar>
              <w:top w:w="90" w:type="dxa"/>
              <w:bottom w:w="90" w:type="dxa"/>
              <w:left w:w="95" w:type="dxa"/>
              <w:right w:w="95" w:type="dxa"/>
            </w:tcMar>
          </w:tcPr>
          <w:p>
            <w:pPr>
              <w:keepNext/>
              <w:spacing w:after="0" w:line="257" w:lineRule="auto"/>
            </w:pPr>
            <w:r>
              <w:rPr>
                <w:b/>
                <w:color w:val="FFFFFF"/>
                <w:sz w:val="19"/>
              </w:rPr>
              <w:t>Tempting claim</w:t>
            </w:r>
          </w:p>
        </w:tc>
        <w:tc>
          <w:tcPr>
            <w:tcW w:type="dxa" w:w="7272"/>
            <w:vAlign w:val="center"/>
            <w:shd w:fill="173A4B"/>
            <w:tcMar>
              <w:top w:w="90" w:type="dxa"/>
              <w:bottom w:w="90" w:type="dxa"/>
              <w:left w:w="95" w:type="dxa"/>
              <w:right w:w="95" w:type="dxa"/>
            </w:tcMar>
          </w:tcPr>
          <w:p>
            <w:pPr>
              <w:keepNext/>
              <w:spacing w:after="0" w:line="257" w:lineRule="auto"/>
            </w:pPr>
            <w:r>
              <w:rPr>
                <w:b/>
                <w:color w:val="FFFFFF"/>
                <w:sz w:val="19"/>
              </w:rPr>
              <w:t>More accurate formulation</w:t>
            </w:r>
          </w:p>
        </w:tc>
      </w:tr>
      <w:tr>
        <w:trPr>
          <w:cantSplit/>
        </w:trPr>
        <w:tc>
          <w:tcPr>
            <w:tcW w:type="dxa" w:w="2952"/>
            <w:vAlign w:val="center"/>
            <w:shd w:fill="F0F5F5"/>
            <w:tcMar>
              <w:top w:w="90" w:type="dxa"/>
              <w:bottom w:w="90" w:type="dxa"/>
              <w:left w:w="95" w:type="dxa"/>
              <w:right w:w="95" w:type="dxa"/>
            </w:tcMar>
          </w:tcPr>
          <w:p>
            <w:pPr>
              <w:keepNext/>
              <w:spacing w:after="0" w:line="257" w:lineRule="auto"/>
            </w:pPr>
            <w:r>
              <w:rPr>
                <w:b w:val="0"/>
                <w:color w:val="112534"/>
                <w:sz w:val="19"/>
              </w:rPr>
              <w:t>“ECG measures nerve electricity.”</w:t>
            </w:r>
          </w:p>
        </w:tc>
        <w:tc>
          <w:tcPr>
            <w:tcW w:type="dxa" w:w="7272"/>
            <w:vAlign w:val="center"/>
            <w:shd w:fill="F0F5F5"/>
            <w:tcMar>
              <w:top w:w="90" w:type="dxa"/>
              <w:bottom w:w="90" w:type="dxa"/>
              <w:left w:w="95" w:type="dxa"/>
              <w:right w:w="95" w:type="dxa"/>
            </w:tcMar>
          </w:tcPr>
          <w:p>
            <w:pPr>
              <w:keepNext/>
              <w:spacing w:after="0" w:line="257" w:lineRule="auto"/>
            </w:pPr>
            <w:r>
              <w:rPr>
                <w:b w:val="0"/>
                <w:color w:val="112534"/>
                <w:sz w:val="19"/>
              </w:rPr>
              <w:t>ECG records the heart’s electrical activity; neural inputs influence rate, conduction, and rhythm.</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“Heart rhythms come from nerves.”</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Intrinsic cardiac pacemaker and conduction tissue generate and propagate activity, under neural and other modulation.</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“HRV measures your nervous-system health.”</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HRV is a context-sensitive feature that can inform research into regulation; it is not a complete health score.</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“Atrial cardiopathy means anticoagulation prevents recurrent stroke.”</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ARCADIA did not establish that benefit in its studied population.</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“Any short AF episode should trigger anticoagulation.”</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Device-detected episode decisions depend on clinical context; trial benefits and harms differ by population.</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“Lowering BP prevents all dementia.”</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Some trials support lower cognitive risk in specific settings; dementia has multiple causes and individual outcomes vary.</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“Vagus stimulation improves heart outcomes.”</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Effects are target-, population-, dose-, and endpoint-specific; important trials have been neutral.</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“FDA-cleared means every advertised benefit is proven.”</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Regulatory status applies to the specified product and intended use; each additional claim needs support.</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“A breakthrough designation is approval.”</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A designation is a development or review status, not marketing authorization or proof of clinical efficacy.</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“EEG authentication proves a measurement is medically valid.”</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Attribution, measurement validity, and clinical utility are separate validation problems.</w:t>
            </w:r>
          </w:p>
        </w:tc>
      </w:tr>
      <w:tr>
        <w:trPr>
          <w:cantSplit/>
        </w:trPr>
        <w:tc>
          <w:tcPr>
            <w:tcW w:type="dxa" w:w="2952"/>
            <w:vAlign w:val="center"/>
            <w:shd w:fill="F0F5F5"/>
            <w:tcMar>
              <w:top w:w="90" w:type="dxa"/>
              <w:bottom w:w="90" w:type="dxa"/>
              <w:left w:w="95" w:type="dxa"/>
              <w:right w:w="95" w:type="dxa"/>
            </w:tcMar>
          </w:tcPr>
          <w:p>
            <w:pPr>
              <w:spacing w:after="0" w:line="257" w:lineRule="auto"/>
            </w:pPr>
            <w:r>
              <w:rPr>
                <w:b w:val="0"/>
                <w:color w:val="112534"/>
                <w:sz w:val="19"/>
              </w:rPr>
              <w:t>“A consumer alert diagnoses hypertension or stroke.”</w:t>
            </w:r>
          </w:p>
        </w:tc>
        <w:tc>
          <w:tcPr>
            <w:tcW w:type="dxa" w:w="7272"/>
            <w:vAlign w:val="center"/>
            <w:shd w:fill="F0F5F5"/>
            <w:tcMar>
              <w:top w:w="90" w:type="dxa"/>
              <w:bottom w:w="90" w:type="dxa"/>
              <w:left w:w="95" w:type="dxa"/>
              <w:right w:w="95" w:type="dxa"/>
            </w:tcMar>
          </w:tcPr>
          <w:p>
            <w:pPr>
              <w:spacing w:after="0" w:line="257" w:lineRule="auto"/>
            </w:pPr>
            <w:r>
              <w:rPr>
                <w:b w:val="0"/>
                <w:color w:val="112534"/>
                <w:sz w:val="19"/>
              </w:rPr>
              <w:t>An alert may prompt appropriate confirmation; it is not automatically a diagnosis.</w:t>
            </w:r>
          </w:p>
        </w:tc>
      </w:tr>
      <w:tr>
        <w:trPr>
          <w:cantSplit/>
        </w:trPr>
        <w:tc>
          <w:tcPr>
            <w:tcW w:type="dxa" w:w="2952"/>
            <w:vAlign w:val="center"/>
            <w:shd w:fill="FFFFFF"/>
            <w:tcMar>
              <w:top w:w="90" w:type="dxa"/>
              <w:bottom w:w="90" w:type="dxa"/>
              <w:left w:w="95" w:type="dxa"/>
              <w:right w:w="95" w:type="dxa"/>
            </w:tcMar>
          </w:tcPr>
          <w:p>
            <w:pPr>
              <w:spacing w:after="0" w:line="257" w:lineRule="auto"/>
            </w:pPr>
            <w:r>
              <w:rPr>
                <w:b w:val="0"/>
                <w:color w:val="112534"/>
                <w:sz w:val="19"/>
              </w:rPr>
              <w:t>“A large combined market proves demand for Neurocardia.”</w:t>
            </w:r>
          </w:p>
        </w:tc>
        <w:tc>
          <w:tcPr>
            <w:tcW w:type="dxa" w:w="7272"/>
            <w:vAlign w:val="center"/>
            <w:shd w:fill="FFFFFF"/>
            <w:tcMar>
              <w:top w:w="90" w:type="dxa"/>
              <w:bottom w:w="90" w:type="dxa"/>
              <w:left w:w="95" w:type="dxa"/>
              <w:right w:w="95" w:type="dxa"/>
            </w:tcMar>
          </w:tcPr>
          <w:p>
            <w:pPr>
              <w:spacing w:after="0" w:line="257" w:lineRule="auto"/>
            </w:pPr>
            <w:r>
              <w:rPr>
                <w:b w:val="0"/>
                <w:color w:val="112534"/>
                <w:sz w:val="19"/>
              </w:rPr>
              <w:t>Overlapping disease categories do not establish a serviceable market or willingness to pay.</w:t>
            </w:r>
          </w:p>
        </w:tc>
      </w:tr>
    </w:tbl>
    <w:p>
      <w:pPr>
        <w:spacing w:after="20"/>
      </w:pPr>
    </w:p>
    <w:p>
      <w:pPr>
        <w:pStyle w:val="Heading2"/>
      </w:pPr>
      <w:r>
        <w:t>Compact glossary</w:t>
      </w:r>
    </w:p>
    <w:p>
      <w:r/>
      <w:r>
        <w:rPr>
          <w:b/>
        </w:rPr>
        <w:t>Afferent:</w:t>
      </w:r>
      <w:r>
        <w:t xml:space="preserve"> signaling toward the central nervous system. </w:t>
      </w:r>
      <w:r>
        <w:rPr>
          <w:b/>
        </w:rPr>
        <w:t>Efferent:</w:t>
      </w:r>
      <w:r>
        <w:t xml:space="preserve"> signaling from the central nervous system toward peripheral targets. </w:t>
      </w:r>
      <w:r>
        <w:rPr>
          <w:b/>
        </w:rPr>
        <w:t>Autonomic nervous system:</w:t>
      </w:r>
      <w:r>
        <w:t xml:space="preserve"> neural regulation of involuntary functions, including cardiovascular control. </w:t>
      </w:r>
      <w:r>
        <w:rPr>
          <w:b/>
        </w:rPr>
        <w:t>Baroreflex:</w:t>
      </w:r>
      <w:r>
        <w:t xml:space="preserve"> feedback regulation responding to pressure-related vessel stretch. </w:t>
      </w:r>
      <w:r>
        <w:rPr>
          <w:b/>
        </w:rPr>
        <w:t>Interoception:</w:t>
      </w:r>
      <w:r>
        <w:t xml:space="preserve"> sensing and processing internal bodily states. </w:t>
      </w:r>
      <w:r>
        <w:rPr>
          <w:b/>
        </w:rPr>
        <w:t>Neuromodulation:</w:t>
      </w:r>
      <w:r>
        <w:t xml:space="preserve"> alteration of nervous-system activity through a specified intervention. </w:t>
      </w:r>
      <w:r>
        <w:rPr>
          <w:b/>
        </w:rPr>
        <w:t>Phenotype:</w:t>
      </w:r>
      <w:r>
        <w:t xml:space="preserve"> an observed pattern of characteristics. </w:t>
      </w:r>
      <w:r>
        <w:rPr>
          <w:b/>
        </w:rPr>
        <w:t>Surrogate endpoint:</w:t>
      </w:r>
      <w:r>
        <w:t xml:space="preserve"> an intermediate measure used in place of a direct patient outcome; its validity is context-specific. </w:t>
      </w:r>
      <w:r>
        <w:rPr>
          <w:b/>
        </w:rPr>
        <w:t>Clinical utility:</w:t>
      </w:r>
      <w:r>
        <w:t xml:space="preserve"> whether using information improves a relevant decision or outcome. </w:t>
      </w:r>
      <w:r>
        <w:rPr>
          <w:b/>
        </w:rPr>
        <w:t>CED:</w:t>
      </w:r>
      <w:r>
        <w:t xml:space="preserve"> coverage with evidence development.</w:t>
      </w:r>
    </w:p>
    <w:p>
      <w:bookmarkStart w:id="26" w:name="ch26"/>
      <w:pPr>
        <w:pStyle w:val="Heading1"/>
        <w:pageBreakBefore/>
      </w:pPr>
      <w:r>
        <w:t>Appendix B / Research method, provenance, and limitations</w:t>
      </w:r>
      <w:bookmarkEnd w:id="26"/>
    </w:p>
    <w:p>
      <w:pPr>
        <w:pStyle w:val="Heading2"/>
      </w:pPr>
      <w:r>
        <w:t>Method</w:t>
      </w:r>
    </w:p>
    <w:p>
      <w:r>
        <w:t>This report combines recovered local Neurocardia and Keycard documents with fresh review of primary scientific publications, professional guidance, government and regulatory records, company announcements, and SEC filings. A medtech company database was used for discovery; material company-status statements were checked against primary sources. Research was completed to a cutoff of 29 September 2026.</w:t>
      </w:r>
    </w:p>
    <w:p>
      <w:r>
        <w:t>Priority was given to human randomized trials for treatment effects, authoritative regulatory records for indications, and first-party filings for transactions and commercial status. Mechanistic research was included to identify emerging hypotheses, with species and translation boundaries stated. Where only an abstract or publisher summary was accessible, conclusions were limited to what could be verified there.</w:t>
      </w:r>
    </w:p>
    <w:p>
      <w:r>
        <w:t>This is an extensive strategic landscape review, not a registered systematic review, meta-analysis, regulatory opinion, patent analysis, or exhaustive product inventory. No customer interviews, proprietary revenue diligence, patient-level analysis, or clinical validation were conducted for this report. Market rankings, product concepts, and commercial scenarios are explicitly the author’s synthesis and proposed assumptions.</w:t>
      </w:r>
    </w:p>
    <w:p>
      <w:pPr>
        <w:pStyle w:val="Heading2"/>
      </w:pPr>
      <w:r>
        <w:t>Prior work recovered and how it was used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4032"/>
        <w:gridCol w:w="4032"/>
      </w:tblGrid>
      <w:tr>
        <w:trPr>
          <w:cantSplit/>
          <w:tblHeader/>
        </w:trPr>
        <w:tc>
          <w:tcPr>
            <w:tcW w:type="dxa" w:w="2160"/>
            <w:vAlign w:val="center"/>
            <w:shd w:fill="173A4B"/>
            <w:tcMar>
              <w:top w:w="90" w:type="dxa"/>
              <w:bottom w:w="90" w:type="dxa"/>
              <w:left w:w="95" w:type="dxa"/>
              <w:right w:w="95" w:type="dxa"/>
            </w:tcMar>
          </w:tcPr>
          <w:p>
            <w:pPr>
              <w:keepNext/>
              <w:spacing w:after="0" w:line="257" w:lineRule="auto"/>
            </w:pPr>
            <w:r>
              <w:rPr>
                <w:b/>
                <w:color w:val="FFFFFF"/>
                <w:sz w:val="19"/>
              </w:rPr>
              <w:t>Recovered artifact</w:t>
            </w:r>
          </w:p>
        </w:tc>
        <w:tc>
          <w:tcPr>
            <w:tcW w:type="dxa" w:w="4032"/>
            <w:vAlign w:val="center"/>
            <w:shd w:fill="173A4B"/>
            <w:tcMar>
              <w:top w:w="90" w:type="dxa"/>
              <w:bottom w:w="90" w:type="dxa"/>
              <w:left w:w="95" w:type="dxa"/>
              <w:right w:w="95" w:type="dxa"/>
            </w:tcMar>
          </w:tcPr>
          <w:p>
            <w:pPr>
              <w:keepNext/>
              <w:spacing w:after="0" w:line="257" w:lineRule="auto"/>
            </w:pPr>
            <w:r>
              <w:rPr>
                <w:b/>
                <w:color w:val="FFFFFF"/>
                <w:sz w:val="19"/>
              </w:rPr>
              <w:t>Contribution retained</w:t>
            </w:r>
          </w:p>
        </w:tc>
        <w:tc>
          <w:tcPr>
            <w:tcW w:type="dxa" w:w="4032"/>
            <w:vAlign w:val="center"/>
            <w:shd w:fill="173A4B"/>
            <w:tcMar>
              <w:top w:w="90" w:type="dxa"/>
              <w:bottom w:w="90" w:type="dxa"/>
              <w:left w:w="95" w:type="dxa"/>
              <w:right w:w="95" w:type="dxa"/>
            </w:tcMar>
          </w:tcPr>
          <w:p>
            <w:pPr>
              <w:keepNext/>
              <w:spacing w:after="0" w:line="257" w:lineRule="auto"/>
            </w:pPr>
            <w:r>
              <w:rPr>
                <w:b/>
                <w:color w:val="FFFFFF"/>
                <w:sz w:val="19"/>
              </w:rPr>
              <w:t>Claims not carried forward as established fact</w:t>
            </w:r>
          </w:p>
        </w:tc>
      </w:tr>
      <w:tr>
        <w:trPr>
          <w:cantSplit/>
        </w:trPr>
        <w:tc>
          <w:tcPr>
            <w:tcW w:type="dxa" w:w="2160"/>
            <w:vAlign w:val="center"/>
            <w:shd w:fill="F0F5F5"/>
            <w:tcMar>
              <w:top w:w="90" w:type="dxa"/>
              <w:bottom w:w="90" w:type="dxa"/>
              <w:left w:w="95" w:type="dxa"/>
              <w:right w:w="95" w:type="dxa"/>
            </w:tcMar>
          </w:tcPr>
          <w:p>
            <w:pPr>
              <w:keepNext/>
              <w:spacing w:after="0" w:line="257" w:lineRule="auto"/>
            </w:pPr>
            <w:r>
              <w:rPr>
                <w:b w:val="0"/>
                <w:color w:val="112534"/>
                <w:sz w:val="19"/>
              </w:rPr>
              <w:t>Neurocardia Business Plan, undated recovered PDF</w:t>
            </w:r>
          </w:p>
        </w:tc>
        <w:tc>
          <w:tcPr>
            <w:tcW w:type="dxa" w:w="4032"/>
            <w:vAlign w:val="center"/>
            <w:shd w:fill="F0F5F5"/>
            <w:tcMar>
              <w:top w:w="90" w:type="dxa"/>
              <w:bottom w:w="90" w:type="dxa"/>
              <w:left w:w="95" w:type="dxa"/>
              <w:right w:w="95" w:type="dxa"/>
            </w:tcMar>
          </w:tcPr>
          <w:p>
            <w:pPr>
              <w:keepNext/>
              <w:spacing w:after="0" w:line="257" w:lineRule="auto"/>
            </w:pPr>
            <w:r>
              <w:rPr>
                <w:b w:val="0"/>
                <w:color w:val="112534"/>
                <w:sz w:val="19"/>
              </w:rPr>
              <w:t>Neurocardia identity; longitudinal trust; interest in multimodal physiology</w:t>
            </w:r>
          </w:p>
        </w:tc>
        <w:tc>
          <w:tcPr>
            <w:tcW w:type="dxa" w:w="4032"/>
            <w:vAlign w:val="center"/>
            <w:shd w:fill="F0F5F5"/>
            <w:tcMar>
              <w:top w:w="90" w:type="dxa"/>
              <w:bottom w:w="90" w:type="dxa"/>
              <w:left w:w="95" w:type="dxa"/>
              <w:right w:w="95" w:type="dxa"/>
            </w:tcMar>
          </w:tcPr>
          <w:p>
            <w:pPr>
              <w:keepNext/>
              <w:spacing w:after="0" w:line="257" w:lineRule="auto"/>
            </w:pPr>
            <w:r>
              <w:rPr>
                <w:b w:val="0"/>
                <w:color w:val="112534"/>
                <w:sz w:val="19"/>
              </w:rPr>
              <w:t>Unverified accuracy, security, health prediction, intellectual-property, compliance, or commercial-readiness claims</w:t>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Keycard Health Neurocard n3 EEG Authentication Feasibility Protocol, 26 August 2026</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Whole-session holdouts, small-feasibility discipline, consent and source-data prerequisites</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Clinical validation or security certification from a small pilot</w:t>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Keycard Neurocard in-ear EEG nocturnal report B, undated recovered document</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In-ear neural sensing as a research hypothesis</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Unverified market totals and performance estimates</w:t>
            </w:r>
          </w:p>
        </w:tc>
      </w:tr>
      <w:tr>
        <w:trPr>
          <w:cantSplit/>
        </w:trPr>
        <w:tc>
          <w:tcPr>
            <w:tcW w:type="dxa" w:w="2160"/>
            <w:vAlign w:val="center"/>
            <w:shd w:fill="FFFFFF"/>
            <w:tcMar>
              <w:top w:w="90" w:type="dxa"/>
              <w:bottom w:w="90" w:type="dxa"/>
              <w:left w:w="95" w:type="dxa"/>
              <w:right w:w="95" w:type="dxa"/>
            </w:tcMar>
          </w:tcPr>
          <w:p>
            <w:pPr>
              <w:spacing w:after="0" w:line="257" w:lineRule="auto"/>
            </w:pPr>
            <w:r>
              <w:rPr>
                <w:b w:val="0"/>
                <w:color w:val="112534"/>
                <w:sz w:val="19"/>
              </w:rPr>
              <w:t>Sleep–Heart–CVD Evidence Strategy Research Report, 29 September 2026</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Separation of rhythm, BP, intermediate outcomes, and hard clinical outcomes</w:t>
            </w:r>
          </w:p>
        </w:tc>
        <w:tc>
          <w:tcPr>
            <w:tcW w:type="dxa" w:w="4032"/>
            <w:vAlign w:val="center"/>
            <w:shd w:fill="FFFFFF"/>
            <w:tcMar>
              <w:top w:w="90" w:type="dxa"/>
              <w:bottom w:w="90" w:type="dxa"/>
              <w:left w:w="95" w:type="dxa"/>
              <w:right w:w="95" w:type="dxa"/>
            </w:tcMar>
          </w:tcPr>
          <w:p>
            <w:pPr>
              <w:spacing w:after="0" w:line="257" w:lineRule="auto"/>
            </w:pPr>
            <w:r>
              <w:rPr>
                <w:b w:val="0"/>
                <w:color w:val="112534"/>
                <w:sz w:val="19"/>
              </w:rPr>
              <w:t>Company-specific strategy or automatic cardiovascular-event savings</w:t>
            </w:r>
          </w:p>
        </w:tc>
      </w:tr>
      <w:tr>
        <w:trPr>
          <w:cantSplit/>
        </w:trPr>
        <w:tc>
          <w:tcPr>
            <w:tcW w:type="dxa" w:w="2160"/>
            <w:vAlign w:val="center"/>
            <w:shd w:fill="F0F5F5"/>
            <w:tcMar>
              <w:top w:w="90" w:type="dxa"/>
              <w:bottom w:w="90" w:type="dxa"/>
              <w:left w:w="95" w:type="dxa"/>
              <w:right w:w="95" w:type="dxa"/>
            </w:tcMar>
          </w:tcPr>
          <w:p>
            <w:pPr>
              <w:spacing w:after="0" w:line="257" w:lineRule="auto"/>
            </w:pPr>
            <w:r>
              <w:rPr>
                <w:b w:val="0"/>
                <w:color w:val="112534"/>
                <w:sz w:val="19"/>
              </w:rPr>
              <w:t>Earlier retained Site and Keycard workflow guidance</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Preserve existing identity, distinguish synthetic and live states, test meaningful interactions</w:t>
            </w:r>
          </w:p>
        </w:tc>
        <w:tc>
          <w:tcPr>
            <w:tcW w:type="dxa" w:w="4032"/>
            <w:vAlign w:val="center"/>
            <w:shd w:fill="F0F5F5"/>
            <w:tcMar>
              <w:top w:w="90" w:type="dxa"/>
              <w:bottom w:w="90" w:type="dxa"/>
              <w:left w:w="95" w:type="dxa"/>
              <w:right w:w="95" w:type="dxa"/>
            </w:tcMar>
          </w:tcPr>
          <w:p>
            <w:pPr>
              <w:spacing w:after="0" w:line="257" w:lineRule="auto"/>
            </w:pPr>
            <w:r>
              <w:rPr>
                <w:b w:val="0"/>
                <w:color w:val="112534"/>
                <w:sz w:val="19"/>
              </w:rPr>
              <w:t>Any inference that this proposed Neurocardia Site is already deployed</w:t>
            </w:r>
          </w:p>
        </w:tc>
      </w:tr>
    </w:tbl>
    <w:p>
      <w:pPr>
        <w:spacing w:after="20"/>
      </w:pPr>
    </w:p>
    <w:p>
      <w:r>
        <w:t>The original documents are inputs to strategy, not independent scientific validation. Their presence does not confirm ownership of a trademark, device clearance, patent rights, operating business, or production platform.</w:t>
      </w:r>
    </w:p>
    <w:p>
      <w:bookmarkStart w:id="27" w:name="ch27"/>
      <w:pPr>
        <w:pStyle w:val="Heading1"/>
        <w:pageBreakBefore/>
      </w:pPr>
      <w:r>
        <w:t>Appendix C / Source register</w:t>
      </w:r>
      <w:bookmarkEnd w:id="27"/>
    </w:p>
    <w:p>
      <w:r>
        <w:t>The numbered records below correspond to citations throughout the report. Publication dates, regulatory dates, announcement dates, and access dates are labeled separately when material. A source link supports only the bounded claims attributed to it; it does not endorse Neurocardia’s proposed product or commercial assumptions.</w:t>
      </w:r>
    </w:p>
    <w:p>
      <w:bookmarkStart w:id="28" w:name="ref1"/>
      <w:pPr>
        <w:keepNext/>
        <w:spacing w:after="60"/>
      </w:pPr>
      <w:bookmarkEnd w:id="28"/>
      <w:r>
        <w:rPr>
          <w:b/>
          <w:sz w:val="20"/>
        </w:rPr>
        <w:t>[1] NHLBI — How the heart beats</w:t>
      </w:r>
    </w:p>
    <w:p>
      <w:pPr>
        <w:spacing w:after="180" w:line="252" w:lineRule="auto"/>
      </w:pPr>
      <w:r>
        <w:rPr>
          <w:sz w:val="19"/>
        </w:rPr>
        <w:t>Accessed 29 September 2026 • Government physiology reference</w:t>
        <w:br/>
      </w:r>
      <w:hyperlink r:id="rId15">
        <w:r>
          <w:rPr>
            <w:color w:val="205F68"/>
            <w:sz w:val="19"/>
          </w:rPr>
          <w:t>Open primary source</w:t>
        </w:r>
      </w:hyperlink>
    </w:p>
    <w:p>
      <w:bookmarkStart w:id="29" w:name="ref2"/>
      <w:pPr>
        <w:keepNext/>
        <w:spacing w:after="60"/>
      </w:pPr>
      <w:bookmarkEnd w:id="29"/>
      <w:r>
        <w:rPr>
          <w:b/>
          <w:sz w:val="20"/>
        </w:rPr>
        <w:t>[2] Clinical neurocardiology defining the value of neuroscience based cardiovascular therapeutics 2024 update</w:t>
      </w:r>
    </w:p>
    <w:p>
      <w:pPr>
        <w:spacing w:after="180" w:line="252" w:lineRule="auto"/>
      </w:pPr>
      <w:r>
        <w:rPr>
          <w:sz w:val="19"/>
        </w:rPr>
        <w:t>2025 • Expert white paper in Journal of Physiology</w:t>
        <w:br/>
      </w:r>
      <w:hyperlink r:id="rId16">
        <w:r>
          <w:rPr>
            <w:color w:val="205F68"/>
            <w:sz w:val="19"/>
          </w:rPr>
          <w:t>Open primary source</w:t>
        </w:r>
      </w:hyperlink>
    </w:p>
    <w:p>
      <w:bookmarkStart w:id="30" w:name="ref3"/>
      <w:pPr>
        <w:keepNext/>
        <w:spacing w:after="60"/>
      </w:pPr>
      <w:bookmarkEnd w:id="30"/>
      <w:r>
        <w:rPr>
          <w:b/>
          <w:sz w:val="20"/>
        </w:rPr>
        <w:t>[3] Valenza and colleagues — The brain heart axis integrative cooperation of neural mechanical and biochemical pathways</w:t>
      </w:r>
    </w:p>
    <w:p>
      <w:pPr>
        <w:spacing w:after="180" w:line="252" w:lineRule="auto"/>
      </w:pPr>
      <w:r>
        <w:rPr>
          <w:sz w:val="19"/>
        </w:rPr>
        <w:t>3 March 2025 • Scientific review</w:t>
        <w:br/>
      </w:r>
      <w:hyperlink r:id="rId17">
        <w:r>
          <w:rPr>
            <w:color w:val="205F68"/>
            <w:sz w:val="19"/>
          </w:rPr>
          <w:t>Open primary source</w:t>
        </w:r>
      </w:hyperlink>
    </w:p>
    <w:p>
      <w:bookmarkStart w:id="31" w:name="ref4"/>
      <w:pPr>
        <w:keepNext/>
        <w:spacing w:after="60"/>
      </w:pPr>
      <w:bookmarkEnd w:id="31"/>
      <w:r>
        <w:rPr>
          <w:b/>
          <w:sz w:val="20"/>
        </w:rPr>
        <w:t>[4] CDC — Stroke facts</w:t>
      </w:r>
    </w:p>
    <w:p>
      <w:pPr>
        <w:spacing w:after="180" w:line="252" w:lineRule="auto"/>
      </w:pPr>
      <w:r>
        <w:rPr>
          <w:sz w:val="19"/>
        </w:rPr>
        <w:t>Accessed 29 September 2026; underlying estimates include 2023 and 2024 AHA updates • Government epidemiology</w:t>
        <w:br/>
      </w:r>
      <w:hyperlink r:id="rId18">
        <w:r>
          <w:rPr>
            <w:color w:val="205F68"/>
            <w:sz w:val="19"/>
          </w:rPr>
          <w:t>Open primary source</w:t>
        </w:r>
      </w:hyperlink>
    </w:p>
    <w:p>
      <w:bookmarkStart w:id="32" w:name="ref5"/>
      <w:pPr>
        <w:keepNext/>
        <w:spacing w:after="60"/>
      </w:pPr>
      <w:bookmarkEnd w:id="32"/>
      <w:r>
        <w:rPr>
          <w:b/>
          <w:sz w:val="20"/>
        </w:rPr>
        <w:t>[5] CDC — About heart failure</w:t>
      </w:r>
    </w:p>
    <w:p>
      <w:pPr>
        <w:spacing w:after="180" w:line="252" w:lineRule="auto"/>
      </w:pPr>
      <w:r>
        <w:rPr>
          <w:sz w:val="19"/>
        </w:rPr>
        <w:t>Accessed 29 September 2026; prevalence cites 2024 AHA update • Government epidemiology</w:t>
        <w:br/>
      </w:r>
      <w:hyperlink r:id="rId19">
        <w:r>
          <w:rPr>
            <w:color w:val="205F68"/>
            <w:sz w:val="19"/>
          </w:rPr>
          <w:t>Open primary source</w:t>
        </w:r>
      </w:hyperlink>
    </w:p>
    <w:p>
      <w:bookmarkStart w:id="33" w:name="ref6"/>
      <w:pPr>
        <w:keepNext/>
        <w:spacing w:after="60"/>
      </w:pPr>
      <w:bookmarkEnd w:id="33"/>
      <w:r>
        <w:rPr>
          <w:b/>
          <w:sz w:val="20"/>
        </w:rPr>
        <w:t>[6] American Heart Association — What is atrial fibrillation</w:t>
      </w:r>
    </w:p>
    <w:p>
      <w:pPr>
        <w:spacing w:after="180" w:line="252" w:lineRule="auto"/>
      </w:pPr>
      <w:r>
        <w:rPr>
          <w:sz w:val="19"/>
        </w:rPr>
        <w:t>Accessed 29 September 2026 • Professional society reference</w:t>
        <w:br/>
      </w:r>
      <w:hyperlink r:id="rId20">
        <w:r>
          <w:rPr>
            <w:color w:val="205F68"/>
            <w:sz w:val="19"/>
          </w:rPr>
          <w:t>Open primary source</w:t>
        </w:r>
      </w:hyperlink>
    </w:p>
    <w:p>
      <w:bookmarkStart w:id="34" w:name="ref7"/>
      <w:pPr>
        <w:keepNext/>
        <w:spacing w:after="60"/>
      </w:pPr>
      <w:bookmarkEnd w:id="34"/>
      <w:r>
        <w:rPr>
          <w:b/>
          <w:sz w:val="20"/>
        </w:rPr>
        <w:t>[7] WHO — Hypertension</w:t>
      </w:r>
    </w:p>
    <w:p>
      <w:pPr>
        <w:spacing w:after="180" w:line="252" w:lineRule="auto"/>
      </w:pPr>
      <w:r>
        <w:rPr>
          <w:sz w:val="19"/>
        </w:rPr>
        <w:t>25 September 2025 • Global epidemiology</w:t>
        <w:br/>
      </w:r>
      <w:hyperlink r:id="rId21">
        <w:r>
          <w:rPr>
            <w:color w:val="205F68"/>
            <w:sz w:val="19"/>
          </w:rPr>
          <w:t>Open primary source</w:t>
        </w:r>
      </w:hyperlink>
    </w:p>
    <w:p>
      <w:bookmarkStart w:id="35" w:name="ref8"/>
      <w:pPr>
        <w:keepNext/>
        <w:spacing w:after="60"/>
      </w:pPr>
      <w:bookmarkEnd w:id="35"/>
      <w:r>
        <w:rPr>
          <w:b/>
          <w:sz w:val="20"/>
        </w:rPr>
        <w:t>[8] ACC — Expert consensus decision pathway on arrhythmia monitoring after stroke</w:t>
      </w:r>
    </w:p>
    <w:p>
      <w:pPr>
        <w:spacing w:after="180" w:line="252" w:lineRule="auto"/>
      </w:pPr>
      <w:r>
        <w:rPr>
          <w:sz w:val="19"/>
        </w:rPr>
        <w:t>17 December 2024 • Professional consensus</w:t>
        <w:br/>
      </w:r>
      <w:hyperlink r:id="rId22">
        <w:r>
          <w:rPr>
            <w:color w:val="205F68"/>
            <w:sz w:val="19"/>
          </w:rPr>
          <w:t>Open primary source</w:t>
        </w:r>
      </w:hyperlink>
    </w:p>
    <w:p>
      <w:bookmarkStart w:id="36" w:name="ref9"/>
      <w:pPr>
        <w:keepNext/>
        <w:spacing w:after="60"/>
      </w:pPr>
      <w:bookmarkEnd w:id="36"/>
      <w:r>
        <w:rPr>
          <w:b/>
          <w:sz w:val="20"/>
        </w:rPr>
        <w:t>[9] Healey and colleagues — Apixaban for stroke prevention in subclinical atrial fibrillation ARTESiA</w:t>
      </w:r>
    </w:p>
    <w:p>
      <w:pPr>
        <w:spacing w:after="180" w:line="252" w:lineRule="auto"/>
      </w:pPr>
      <w:r>
        <w:rPr>
          <w:sz w:val="19"/>
        </w:rPr>
        <w:t>2024 issue; online 12 November 2023 • Randomized trial</w:t>
        <w:br/>
      </w:r>
      <w:hyperlink r:id="rId23">
        <w:r>
          <w:rPr>
            <w:color w:val="205F68"/>
            <w:sz w:val="19"/>
          </w:rPr>
          <w:t>Open primary source</w:t>
        </w:r>
      </w:hyperlink>
    </w:p>
    <w:p>
      <w:bookmarkStart w:id="37" w:name="ref10"/>
      <w:pPr>
        <w:keepNext/>
        <w:spacing w:after="60"/>
      </w:pPr>
      <w:bookmarkEnd w:id="37"/>
      <w:r>
        <w:rPr>
          <w:b/>
          <w:sz w:val="20"/>
        </w:rPr>
        <w:t>[10] Kirchhof and colleagues — Anticoagulation with edoxaban in patients with atrial high rate episodes NOAH AFNET 6</w:t>
      </w:r>
    </w:p>
    <w:p>
      <w:pPr>
        <w:spacing w:after="180" w:line="252" w:lineRule="auto"/>
      </w:pPr>
      <w:r>
        <w:rPr>
          <w:sz w:val="19"/>
        </w:rPr>
        <w:t>25 August 2023 • Randomized trial</w:t>
        <w:br/>
      </w:r>
      <w:hyperlink r:id="rId24">
        <w:r>
          <w:rPr>
            <w:color w:val="205F68"/>
            <w:sz w:val="19"/>
          </w:rPr>
          <w:t>Open primary source</w:t>
        </w:r>
      </w:hyperlink>
    </w:p>
    <w:p>
      <w:bookmarkStart w:id="38" w:name="ref11"/>
      <w:pPr>
        <w:keepNext/>
        <w:spacing w:after="60"/>
      </w:pPr>
      <w:bookmarkEnd w:id="38"/>
      <w:r>
        <w:rPr>
          <w:b/>
          <w:sz w:val="20"/>
        </w:rPr>
        <w:t>[11] Kamel and colleagues — Apixaban after cryptogenic stroke in patients with atrial cardiopathy ARCADIA</w:t>
      </w:r>
    </w:p>
    <w:p>
      <w:pPr>
        <w:spacing w:after="180" w:line="252" w:lineRule="auto"/>
      </w:pPr>
      <w:r>
        <w:rPr>
          <w:sz w:val="19"/>
        </w:rPr>
        <w:t>7 February 2024 • Randomized trial</w:t>
        <w:br/>
      </w:r>
      <w:hyperlink r:id="rId25">
        <w:r>
          <w:rPr>
            <w:color w:val="205F68"/>
            <w:sz w:val="19"/>
          </w:rPr>
          <w:t>Open primary source</w:t>
        </w:r>
      </w:hyperlink>
    </w:p>
    <w:p>
      <w:bookmarkStart w:id="39" w:name="ref12"/>
      <w:pPr>
        <w:keepNext/>
        <w:spacing w:after="60"/>
      </w:pPr>
      <w:bookmarkEnd w:id="39"/>
      <w:r>
        <w:rPr>
          <w:b/>
          <w:sz w:val="20"/>
        </w:rPr>
        <w:t>[12] Rivard and colleagues — Anticoagulation to prevent ischemic stroke and neurocognitive impairment BRAIN AF</w:t>
      </w:r>
    </w:p>
    <w:p>
      <w:pPr>
        <w:spacing w:after="180" w:line="252" w:lineRule="auto"/>
      </w:pPr>
      <w:r>
        <w:rPr>
          <w:sz w:val="19"/>
        </w:rPr>
        <w:t>2026 • Randomized trial</w:t>
        <w:br/>
      </w:r>
      <w:hyperlink r:id="rId26">
        <w:r>
          <w:rPr>
            <w:color w:val="205F68"/>
            <w:sz w:val="19"/>
          </w:rPr>
          <w:t>Open primary source</w:t>
        </w:r>
      </w:hyperlink>
    </w:p>
    <w:p>
      <w:bookmarkStart w:id="40" w:name="ref13"/>
      <w:pPr>
        <w:keepNext/>
        <w:spacing w:after="60"/>
      </w:pPr>
      <w:bookmarkEnd w:id="40"/>
      <w:r>
        <w:rPr>
          <w:b/>
          <w:sz w:val="20"/>
        </w:rPr>
        <w:t>[13] Left atrial appendage closure or anticoagulation for atrial fibrillation CHAMPION AF</w:t>
      </w:r>
    </w:p>
    <w:p>
      <w:pPr>
        <w:spacing w:after="180" w:line="252" w:lineRule="auto"/>
      </w:pPr>
      <w:r>
        <w:rPr>
          <w:sz w:val="19"/>
        </w:rPr>
        <w:t>28 March 2026 • Randomized trial</w:t>
        <w:br/>
      </w:r>
      <w:hyperlink r:id="rId27">
        <w:r>
          <w:rPr>
            <w:color w:val="205F68"/>
            <w:sz w:val="19"/>
          </w:rPr>
          <w:t>Open primary source</w:t>
        </w:r>
      </w:hyperlink>
    </w:p>
    <w:p>
      <w:bookmarkStart w:id="41" w:name="ref14"/>
      <w:pPr>
        <w:keepNext/>
        <w:spacing w:after="60"/>
      </w:pPr>
      <w:bookmarkEnd w:id="41"/>
      <w:r>
        <w:rPr>
          <w:b/>
          <w:sz w:val="20"/>
        </w:rPr>
        <w:t>[14] Scheitz and colleagues — Stroke heart syndrome recent advances and challenges</w:t>
      </w:r>
    </w:p>
    <w:p>
      <w:pPr>
        <w:spacing w:after="180" w:line="252" w:lineRule="auto"/>
      </w:pPr>
      <w:r>
        <w:rPr>
          <w:sz w:val="19"/>
        </w:rPr>
        <w:t>2022 • Scientific synthesis</w:t>
        <w:br/>
      </w:r>
      <w:hyperlink r:id="rId28">
        <w:r>
          <w:rPr>
            <w:color w:val="205F68"/>
            <w:sz w:val="19"/>
          </w:rPr>
          <w:t>Open primary source</w:t>
        </w:r>
      </w:hyperlink>
    </w:p>
    <w:p>
      <w:bookmarkStart w:id="42" w:name="ref15"/>
      <w:pPr>
        <w:keepNext/>
        <w:spacing w:after="60"/>
      </w:pPr>
      <w:bookmarkEnd w:id="42"/>
      <w:r>
        <w:rPr>
          <w:b/>
          <w:sz w:val="20"/>
        </w:rPr>
        <w:t>[15] Vaccarino and colleagues — Mental stress induced myocardial ischemia and cardiovascular events</w:t>
      </w:r>
    </w:p>
    <w:p>
      <w:pPr>
        <w:spacing w:after="180" w:line="252" w:lineRule="auto"/>
      </w:pPr>
      <w:r>
        <w:rPr>
          <w:sz w:val="19"/>
        </w:rPr>
        <w:t>9 November 2021 • Prospective observational cohorts</w:t>
        <w:br/>
      </w:r>
      <w:hyperlink r:id="rId29">
        <w:r>
          <w:rPr>
            <w:color w:val="205F68"/>
            <w:sz w:val="19"/>
          </w:rPr>
          <w:t>Open primary source</w:t>
        </w:r>
      </w:hyperlink>
    </w:p>
    <w:p>
      <w:bookmarkStart w:id="43" w:name="ref16"/>
      <w:pPr>
        <w:keepNext/>
        <w:spacing w:after="60"/>
      </w:pPr>
      <w:bookmarkEnd w:id="43"/>
      <w:r>
        <w:rPr>
          <w:b/>
          <w:sz w:val="20"/>
        </w:rPr>
        <w:t>[16] Templin and colleagues — Clinical features and outcomes of Takotsubo stress cardiomyopathy</w:t>
      </w:r>
    </w:p>
    <w:p>
      <w:pPr>
        <w:spacing w:after="180" w:line="252" w:lineRule="auto"/>
      </w:pPr>
      <w:r>
        <w:rPr>
          <w:sz w:val="19"/>
        </w:rPr>
        <w:t>3 September 2015 • Multicenter registry</w:t>
        <w:br/>
      </w:r>
      <w:hyperlink r:id="rId30">
        <w:r>
          <w:rPr>
            <w:color w:val="205F68"/>
            <w:sz w:val="19"/>
          </w:rPr>
          <w:t>Open primary source</w:t>
        </w:r>
      </w:hyperlink>
    </w:p>
    <w:p>
      <w:bookmarkStart w:id="44" w:name="ref17"/>
      <w:pPr>
        <w:keepNext/>
        <w:spacing w:after="60"/>
      </w:pPr>
      <w:bookmarkEnd w:id="44"/>
      <w:r>
        <w:rPr>
          <w:b/>
          <w:sz w:val="20"/>
        </w:rPr>
        <w:t>[17] Hsueh and colleagues — Cardiogenic control of affective behavioural state</w:t>
      </w:r>
    </w:p>
    <w:p>
      <w:pPr>
        <w:spacing w:after="180" w:line="252" w:lineRule="auto"/>
      </w:pPr>
      <w:r>
        <w:rPr>
          <w:sz w:val="19"/>
        </w:rPr>
        <w:t>2023 • Mechanistic animal study</w:t>
        <w:br/>
      </w:r>
      <w:hyperlink r:id="rId31">
        <w:r>
          <w:rPr>
            <w:color w:val="205F68"/>
            <w:sz w:val="19"/>
          </w:rPr>
          <w:t>Open primary source</w:t>
        </w:r>
      </w:hyperlink>
    </w:p>
    <w:p>
      <w:bookmarkStart w:id="45" w:name="ref18"/>
      <w:pPr>
        <w:keepNext/>
        <w:spacing w:after="60"/>
      </w:pPr>
      <w:bookmarkEnd w:id="45"/>
      <w:r>
        <w:rPr>
          <w:b/>
          <w:sz w:val="20"/>
        </w:rPr>
        <w:t>[18] SPRINT MIND — Intensive versus standard blood pressure control and probable dementia</w:t>
      </w:r>
    </w:p>
    <w:p>
      <w:pPr>
        <w:spacing w:after="180" w:line="252" w:lineRule="auto"/>
      </w:pPr>
      <w:r>
        <w:rPr>
          <w:sz w:val="19"/>
        </w:rPr>
        <w:t>2019 • Randomized trial</w:t>
        <w:br/>
      </w:r>
      <w:hyperlink r:id="rId32">
        <w:r>
          <w:rPr>
            <w:color w:val="205F68"/>
            <w:sz w:val="19"/>
          </w:rPr>
          <w:t>Open primary source</w:t>
        </w:r>
      </w:hyperlink>
    </w:p>
    <w:p>
      <w:bookmarkStart w:id="46" w:name="ref19"/>
      <w:pPr>
        <w:keepNext/>
        <w:spacing w:after="60"/>
      </w:pPr>
      <w:bookmarkEnd w:id="46"/>
      <w:r>
        <w:rPr>
          <w:b/>
          <w:sz w:val="20"/>
        </w:rPr>
        <w:t>[19] He and colleagues — Blood pressure reduction and all cause dementia in uncontrolled hypertension</w:t>
      </w:r>
    </w:p>
    <w:p>
      <w:pPr>
        <w:spacing w:after="180" w:line="252" w:lineRule="auto"/>
      </w:pPr>
      <w:r>
        <w:rPr>
          <w:sz w:val="19"/>
        </w:rPr>
        <w:t>21 April 2025 • Cluster randomized trial</w:t>
        <w:br/>
      </w:r>
      <w:hyperlink r:id="rId33">
        <w:r>
          <w:rPr>
            <w:color w:val="205F68"/>
            <w:sz w:val="19"/>
          </w:rPr>
          <w:t>Open primary source</w:t>
        </w:r>
      </w:hyperlink>
    </w:p>
    <w:p>
      <w:bookmarkStart w:id="47" w:name="ref20"/>
      <w:pPr>
        <w:keepNext/>
        <w:spacing w:after="60"/>
      </w:pPr>
      <w:bookmarkEnd w:id="47"/>
      <w:r>
        <w:rPr>
          <w:b/>
          <w:sz w:val="20"/>
        </w:rPr>
        <w:t>[20] AHA — Cardiac contributions to brain health</w:t>
      </w:r>
    </w:p>
    <w:p>
      <w:pPr>
        <w:spacing w:after="180" w:line="252" w:lineRule="auto"/>
      </w:pPr>
      <w:r>
        <w:rPr>
          <w:sz w:val="19"/>
        </w:rPr>
        <w:t>10 October 2024 • Scientific statement</w:t>
        <w:br/>
      </w:r>
      <w:hyperlink r:id="rId34">
        <w:r>
          <w:rPr>
            <w:color w:val="205F68"/>
            <w:sz w:val="19"/>
          </w:rPr>
          <w:t>Open primary source</w:t>
        </w:r>
      </w:hyperlink>
    </w:p>
    <w:p>
      <w:bookmarkStart w:id="48" w:name="ref21"/>
      <w:pPr>
        <w:keepNext/>
        <w:spacing w:after="60"/>
      </w:pPr>
      <w:bookmarkEnd w:id="48"/>
      <w:r>
        <w:rPr>
          <w:b/>
          <w:sz w:val="20"/>
        </w:rPr>
        <w:t>[21] AHA — 2025 high blood pressure guideline key recommendations</w:t>
      </w:r>
    </w:p>
    <w:p>
      <w:pPr>
        <w:spacing w:after="180" w:line="252" w:lineRule="auto"/>
      </w:pPr>
      <w:r>
        <w:rPr>
          <w:sz w:val="19"/>
        </w:rPr>
        <w:t>14 August 2025 • Professional guideline</w:t>
        <w:br/>
      </w:r>
      <w:hyperlink r:id="rId35">
        <w:r>
          <w:rPr>
            <w:color w:val="205F68"/>
            <w:sz w:val="19"/>
          </w:rPr>
          <w:t>Open primary source</w:t>
        </w:r>
      </w:hyperlink>
    </w:p>
    <w:p>
      <w:bookmarkStart w:id="49" w:name="ref22"/>
      <w:pPr>
        <w:keepNext/>
        <w:spacing w:after="60"/>
      </w:pPr>
      <w:bookmarkEnd w:id="49"/>
      <w:r>
        <w:rPr>
          <w:b/>
          <w:sz w:val="20"/>
        </w:rPr>
        <w:t>[22] BeAT HF — Baroreflex activation therapy long term outcomes</w:t>
      </w:r>
    </w:p>
    <w:p>
      <w:pPr>
        <w:spacing w:after="180" w:line="252" w:lineRule="auto"/>
      </w:pPr>
      <w:r>
        <w:rPr>
          <w:sz w:val="19"/>
        </w:rPr>
        <w:t>April 2024 • Randomized trial follow up</w:t>
        <w:br/>
      </w:r>
      <w:hyperlink r:id="rId36">
        <w:r>
          <w:rPr>
            <w:color w:val="205F68"/>
            <w:sz w:val="19"/>
          </w:rPr>
          <w:t>Open primary source</w:t>
        </w:r>
      </w:hyperlink>
    </w:p>
    <w:p>
      <w:bookmarkStart w:id="50" w:name="ref23"/>
      <w:pPr>
        <w:keepNext/>
        <w:spacing w:after="60"/>
      </w:pPr>
      <w:bookmarkEnd w:id="50"/>
      <w:r>
        <w:rPr>
          <w:b/>
          <w:sz w:val="20"/>
        </w:rPr>
        <w:t>[23] Gold and colleagues — Vagus nerve stimulation for heart failure INOVATE HF</w:t>
      </w:r>
    </w:p>
    <w:p>
      <w:pPr>
        <w:spacing w:after="180" w:line="252" w:lineRule="auto"/>
      </w:pPr>
      <w:r>
        <w:rPr>
          <w:sz w:val="19"/>
        </w:rPr>
        <w:t>2016 • Randomized trial</w:t>
        <w:br/>
      </w:r>
      <w:hyperlink r:id="rId37">
        <w:r>
          <w:rPr>
            <w:color w:val="205F68"/>
            <w:sz w:val="19"/>
          </w:rPr>
          <w:t>Open primary source</w:t>
        </w:r>
      </w:hyperlink>
    </w:p>
    <w:p>
      <w:bookmarkStart w:id="51" w:name="ref24"/>
      <w:pPr>
        <w:keepNext/>
        <w:spacing w:after="60"/>
      </w:pPr>
      <w:bookmarkEnd w:id="51"/>
      <w:r>
        <w:rPr>
          <w:b/>
          <w:sz w:val="20"/>
        </w:rPr>
        <w:t>[24] FDA — Paradise ultrasound renal denervation system</w:t>
      </w:r>
    </w:p>
    <w:p>
      <w:pPr>
        <w:spacing w:after="180" w:line="252" w:lineRule="auto"/>
      </w:pPr>
      <w:r>
        <w:rPr>
          <w:sz w:val="19"/>
        </w:rPr>
        <w:t>Approval 2023; accessed 29 September 2026 • Regulatory record</w:t>
        <w:br/>
      </w:r>
      <w:hyperlink r:id="rId38">
        <w:r>
          <w:rPr>
            <w:color w:val="205F68"/>
            <w:sz w:val="19"/>
          </w:rPr>
          <w:t>Open primary source</w:t>
        </w:r>
      </w:hyperlink>
    </w:p>
    <w:p>
      <w:bookmarkStart w:id="52" w:name="ref25"/>
      <w:pPr>
        <w:keepNext/>
        <w:spacing w:after="60"/>
      </w:pPr>
      <w:bookmarkEnd w:id="52"/>
      <w:r>
        <w:rPr>
          <w:b/>
          <w:sz w:val="20"/>
        </w:rPr>
        <w:t>[25] CMS — Renal denervation for uncontrolled hypertension NCD 20 40</w:t>
      </w:r>
    </w:p>
    <w:p>
      <w:pPr>
        <w:spacing w:after="180" w:line="252" w:lineRule="auto"/>
      </w:pPr>
      <w:r>
        <w:rPr>
          <w:sz w:val="19"/>
        </w:rPr>
        <w:t>Effective 28 October 2025; implementation 6 April 2026 • National coverage determination</w:t>
        <w:br/>
      </w:r>
      <w:hyperlink r:id="rId39">
        <w:r>
          <w:rPr>
            <w:color w:val="205F68"/>
            <w:sz w:val="19"/>
          </w:rPr>
          <w:t>Open primary source</w:t>
        </w:r>
      </w:hyperlink>
    </w:p>
    <w:p>
      <w:bookmarkStart w:id="53" w:name="ref26"/>
      <w:pPr>
        <w:keepNext/>
        <w:spacing w:after="60"/>
      </w:pPr>
      <w:bookmarkEnd w:id="53"/>
      <w:r>
        <w:rPr>
          <w:b/>
          <w:sz w:val="20"/>
        </w:rPr>
        <w:t>[26] CVRx — Second quarter 2026 financial and operating results</w:t>
      </w:r>
    </w:p>
    <w:p>
      <w:pPr>
        <w:spacing w:after="180" w:line="252" w:lineRule="auto"/>
      </w:pPr>
      <w:r>
        <w:rPr>
          <w:sz w:val="19"/>
        </w:rPr>
        <w:t>6 August 2026 • Company disclosure</w:t>
        <w:br/>
      </w:r>
      <w:hyperlink r:id="rId40">
        <w:r>
          <w:rPr>
            <w:color w:val="205F68"/>
            <w:sz w:val="19"/>
          </w:rPr>
          <w:t>Open primary source</w:t>
        </w:r>
      </w:hyperlink>
    </w:p>
    <w:p>
      <w:bookmarkStart w:id="54" w:name="ref27"/>
      <w:pPr>
        <w:keepNext/>
        <w:spacing w:after="60"/>
      </w:pPr>
      <w:bookmarkEnd w:id="54"/>
      <w:r>
        <w:rPr>
          <w:b/>
          <w:sz w:val="20"/>
        </w:rPr>
        <w:t>[27] CVRx — First quarter 2026 Form 10 Q and BENEFIT HF description</w:t>
      </w:r>
    </w:p>
    <w:p>
      <w:pPr>
        <w:spacing w:after="180" w:line="252" w:lineRule="auto"/>
      </w:pPr>
      <w:r>
        <w:rPr>
          <w:sz w:val="19"/>
        </w:rPr>
        <w:t>2026 • SEC filing</w:t>
        <w:br/>
      </w:r>
      <w:hyperlink r:id="rId41">
        <w:r>
          <w:rPr>
            <w:color w:val="205F68"/>
            <w:sz w:val="19"/>
          </w:rPr>
          <w:t>Open primary source</w:t>
        </w:r>
      </w:hyperlink>
    </w:p>
    <w:p>
      <w:bookmarkStart w:id="55" w:name="ref28"/>
      <w:pPr>
        <w:keepNext/>
        <w:spacing w:after="60"/>
      </w:pPr>
      <w:bookmarkEnd w:id="55"/>
      <w:r>
        <w:rPr>
          <w:b/>
          <w:sz w:val="20"/>
        </w:rPr>
        <w:t>[28] McEvoy and colleagues — CPAP for prevention of cardiovascular events SAVE</w:t>
      </w:r>
    </w:p>
    <w:p>
      <w:pPr>
        <w:spacing w:after="180" w:line="252" w:lineRule="auto"/>
      </w:pPr>
      <w:r>
        <w:rPr>
          <w:sz w:val="19"/>
        </w:rPr>
        <w:t>2016 • Randomized trial</w:t>
        <w:br/>
      </w:r>
      <w:hyperlink r:id="rId42">
        <w:r>
          <w:rPr>
            <w:color w:val="205F68"/>
            <w:sz w:val="19"/>
          </w:rPr>
          <w:t>Open primary source</w:t>
        </w:r>
      </w:hyperlink>
    </w:p>
    <w:p>
      <w:bookmarkStart w:id="56" w:name="ref29"/>
      <w:pPr>
        <w:keepNext/>
        <w:spacing w:after="60"/>
      </w:pPr>
      <w:bookmarkEnd w:id="56"/>
      <w:r>
        <w:rPr>
          <w:b/>
          <w:sz w:val="20"/>
        </w:rPr>
        <w:t>[29] NHLBI — Living with sleep apnea</w:t>
      </w:r>
    </w:p>
    <w:p>
      <w:pPr>
        <w:spacing w:after="180" w:line="252" w:lineRule="auto"/>
      </w:pPr>
      <w:r>
        <w:rPr>
          <w:sz w:val="19"/>
        </w:rPr>
        <w:t>Accessed 29 September 2026 • Government clinical reference</w:t>
        <w:br/>
      </w:r>
      <w:hyperlink r:id="rId43">
        <w:r>
          <w:rPr>
            <w:color w:val="205F68"/>
            <w:sz w:val="19"/>
          </w:rPr>
          <w:t>Open primary source</w:t>
        </w:r>
      </w:hyperlink>
    </w:p>
    <w:p>
      <w:bookmarkStart w:id="57" w:name="ref30"/>
      <w:pPr>
        <w:keepNext/>
        <w:spacing w:after="60"/>
      </w:pPr>
      <w:bookmarkEnd w:id="57"/>
      <w:r>
        <w:rPr>
          <w:b/>
          <w:sz w:val="20"/>
        </w:rPr>
        <w:t>[30] Huynh and colleagues — Myocardial infarction augments sleep to limit cardiac inflammation and damage</w:t>
      </w:r>
    </w:p>
    <w:p>
      <w:pPr>
        <w:spacing w:after="180" w:line="252" w:lineRule="auto"/>
      </w:pPr>
      <w:r>
        <w:rPr>
          <w:sz w:val="19"/>
        </w:rPr>
        <w:t>30 October 2024 • Mechanistic and translational research</w:t>
        <w:br/>
      </w:r>
      <w:hyperlink r:id="rId44">
        <w:r>
          <w:rPr>
            <w:color w:val="205F68"/>
            <w:sz w:val="19"/>
          </w:rPr>
          <w:t>Open primary source</w:t>
        </w:r>
      </w:hyperlink>
    </w:p>
    <w:p>
      <w:bookmarkStart w:id="58" w:name="ref31"/>
      <w:pPr>
        <w:keepNext/>
        <w:spacing w:after="60"/>
      </w:pPr>
      <w:bookmarkEnd w:id="58"/>
      <w:r>
        <w:rPr>
          <w:b/>
          <w:sz w:val="20"/>
        </w:rPr>
        <w:t>[31] NIH expert consensus — POTS state of the science and clinical care</w:t>
      </w:r>
    </w:p>
    <w:p>
      <w:pPr>
        <w:spacing w:after="180" w:line="252" w:lineRule="auto"/>
      </w:pPr>
      <w:r>
        <w:rPr>
          <w:sz w:val="19"/>
        </w:rPr>
        <w:t>2021 • Expert consensus</w:t>
        <w:br/>
      </w:r>
      <w:hyperlink r:id="rId45">
        <w:r>
          <w:rPr>
            <w:color w:val="205F68"/>
            <w:sz w:val="19"/>
          </w:rPr>
          <w:t>Open primary source</w:t>
        </w:r>
      </w:hyperlink>
    </w:p>
    <w:p>
      <w:bookmarkStart w:id="59" w:name="ref32"/>
      <w:pPr>
        <w:keepNext/>
        <w:spacing w:after="60"/>
      </w:pPr>
      <w:bookmarkEnd w:id="59"/>
      <w:r>
        <w:rPr>
          <w:b/>
          <w:sz w:val="20"/>
        </w:rPr>
        <w:t>[32] Noninvasive vagus nerve stimulation in postural tachycardia syndrome</w:t>
      </w:r>
    </w:p>
    <w:p>
      <w:pPr>
        <w:spacing w:after="180" w:line="252" w:lineRule="auto"/>
      </w:pPr>
      <w:r>
        <w:rPr>
          <w:sz w:val="19"/>
        </w:rPr>
        <w:t>2024 • Small randomized trial</w:t>
        <w:br/>
      </w:r>
      <w:hyperlink r:id="rId46">
        <w:r>
          <w:rPr>
            <w:color w:val="205F68"/>
            <w:sz w:val="19"/>
          </w:rPr>
          <w:t>Open primary source</w:t>
        </w:r>
      </w:hyperlink>
    </w:p>
    <w:p>
      <w:bookmarkStart w:id="60" w:name="ref33"/>
      <w:pPr>
        <w:keepNext/>
        <w:spacing w:after="60"/>
      </w:pPr>
      <w:bookmarkEnd w:id="60"/>
      <w:r>
        <w:rPr>
          <w:b/>
          <w:sz w:val="20"/>
        </w:rPr>
        <w:t>[33] Lovelace and colleagues — Vagal sensory neurons mediate the Bezold Jarisch reflex and induce syncope</w:t>
      </w:r>
    </w:p>
    <w:p>
      <w:pPr>
        <w:spacing w:after="180" w:line="252" w:lineRule="auto"/>
      </w:pPr>
      <w:r>
        <w:rPr>
          <w:sz w:val="19"/>
        </w:rPr>
        <w:t>1 November 2023 • Mechanistic animal study</w:t>
        <w:br/>
      </w:r>
      <w:hyperlink r:id="rId47">
        <w:r>
          <w:rPr>
            <w:color w:val="205F68"/>
            <w:sz w:val="19"/>
          </w:rPr>
          <w:t>Open primary source</w:t>
        </w:r>
      </w:hyperlink>
    </w:p>
    <w:p>
      <w:bookmarkStart w:id="61" w:name="ref34"/>
      <w:pPr>
        <w:keepNext/>
        <w:spacing w:after="60"/>
      </w:pPr>
      <w:bookmarkEnd w:id="61"/>
      <w:r>
        <w:rPr>
          <w:b/>
          <w:sz w:val="20"/>
        </w:rPr>
        <w:t>[34] Vagal blood volume receptors compensate for haemorrhage and posture change</w:t>
      </w:r>
    </w:p>
    <w:p>
      <w:pPr>
        <w:spacing w:after="180" w:line="252" w:lineRule="auto"/>
      </w:pPr>
      <w:r>
        <w:rPr>
          <w:sz w:val="19"/>
        </w:rPr>
        <w:t>2026 • Mechanistic research</w:t>
        <w:br/>
      </w:r>
      <w:hyperlink r:id="rId48">
        <w:r>
          <w:rPr>
            <w:color w:val="205F68"/>
            <w:sz w:val="19"/>
          </w:rPr>
          <w:t>Open primary source</w:t>
        </w:r>
      </w:hyperlink>
    </w:p>
    <w:p>
      <w:bookmarkStart w:id="62" w:name="ref35"/>
      <w:pPr>
        <w:keepNext/>
        <w:spacing w:after="60"/>
      </w:pPr>
      <w:bookmarkEnd w:id="62"/>
      <w:r>
        <w:rPr>
          <w:b/>
          <w:sz w:val="20"/>
        </w:rPr>
        <w:t>[35] EHRA HRS APHRS LAHRS — Cardioneuroablation for reflex syncope and functional bradyarrhythmias</w:t>
      </w:r>
    </w:p>
    <w:p>
      <w:pPr>
        <w:spacing w:after="180" w:line="252" w:lineRule="auto"/>
      </w:pPr>
      <w:r>
        <w:rPr>
          <w:sz w:val="19"/>
        </w:rPr>
        <w:t>31 July 2024 • Scientific statement</w:t>
        <w:br/>
      </w:r>
      <w:hyperlink r:id="rId49">
        <w:r>
          <w:rPr>
            <w:color w:val="205F68"/>
            <w:sz w:val="19"/>
          </w:rPr>
          <w:t>Open primary source</w:t>
        </w:r>
      </w:hyperlink>
    </w:p>
    <w:p>
      <w:bookmarkStart w:id="63" w:name="ref36"/>
      <w:pPr>
        <w:keepNext/>
        <w:spacing w:after="60"/>
      </w:pPr>
      <w:bookmarkEnd w:id="63"/>
      <w:r>
        <w:rPr>
          <w:b/>
          <w:sz w:val="20"/>
        </w:rPr>
        <w:t>[36] NIDDK — Autonomic neuropathy</w:t>
      </w:r>
    </w:p>
    <w:p>
      <w:pPr>
        <w:spacing w:after="180" w:line="252" w:lineRule="auto"/>
      </w:pPr>
      <w:r>
        <w:rPr>
          <w:sz w:val="19"/>
        </w:rPr>
        <w:t>Accessed 29 September 2026 • Government clinical reference</w:t>
        <w:br/>
      </w:r>
      <w:hyperlink r:id="rId50">
        <w:r>
          <w:rPr>
            <w:color w:val="205F68"/>
            <w:sz w:val="19"/>
          </w:rPr>
          <w:t>Open primary source</w:t>
        </w:r>
      </w:hyperlink>
    </w:p>
    <w:p>
      <w:bookmarkStart w:id="64" w:name="ref37"/>
      <w:pPr>
        <w:keepNext/>
        <w:spacing w:after="60"/>
      </w:pPr>
      <w:bookmarkEnd w:id="64"/>
      <w:r>
        <w:rPr>
          <w:b/>
          <w:sz w:val="20"/>
        </w:rPr>
        <w:t>[37] CDC — Sudden unexpected death in epilepsy</w:t>
      </w:r>
    </w:p>
    <w:p>
      <w:pPr>
        <w:spacing w:after="180" w:line="252" w:lineRule="auto"/>
      </w:pPr>
      <w:r>
        <w:rPr>
          <w:sz w:val="19"/>
        </w:rPr>
        <w:t>Accessed 29 September 2026 • Government clinical reference</w:t>
        <w:br/>
      </w:r>
      <w:hyperlink r:id="rId51">
        <w:r>
          <w:rPr>
            <w:color w:val="205F68"/>
            <w:sz w:val="19"/>
          </w:rPr>
          <w:t>Open primary source</w:t>
        </w:r>
      </w:hyperlink>
    </w:p>
    <w:p>
      <w:bookmarkStart w:id="65" w:name="ref38"/>
      <w:pPr>
        <w:keepNext/>
        <w:spacing w:after="60"/>
      </w:pPr>
      <w:bookmarkEnd w:id="65"/>
      <w:r>
        <w:rPr>
          <w:b/>
          <w:sz w:val="20"/>
        </w:rPr>
        <w:t>[38] NINDS — Parkinson disease challenges progress and promise</w:t>
      </w:r>
    </w:p>
    <w:p>
      <w:pPr>
        <w:spacing w:after="180" w:line="252" w:lineRule="auto"/>
      </w:pPr>
      <w:r>
        <w:rPr>
          <w:sz w:val="19"/>
        </w:rPr>
        <w:t>Accessed 29 September 2026 • Government scientific reference</w:t>
        <w:br/>
      </w:r>
      <w:hyperlink r:id="rId52">
        <w:r>
          <w:rPr>
            <w:color w:val="205F68"/>
            <w:sz w:val="19"/>
          </w:rPr>
          <w:t>Open primary source</w:t>
        </w:r>
      </w:hyperlink>
    </w:p>
    <w:p>
      <w:bookmarkStart w:id="66" w:name="ref39"/>
      <w:pPr>
        <w:keepNext/>
        <w:spacing w:after="60"/>
      </w:pPr>
      <w:bookmarkEnd w:id="66"/>
      <w:r>
        <w:rPr>
          <w:b/>
          <w:sz w:val="20"/>
        </w:rPr>
        <w:t>[39] Saver and colleagues — Long term outcomes of patent foramen ovale closure or medical therapy after stroke</w:t>
      </w:r>
    </w:p>
    <w:p>
      <w:pPr>
        <w:spacing w:after="180" w:line="252" w:lineRule="auto"/>
      </w:pPr>
      <w:r>
        <w:rPr>
          <w:sz w:val="19"/>
        </w:rPr>
        <w:t>14 September 2017 • Randomized trial extended follow up</w:t>
        <w:br/>
      </w:r>
      <w:hyperlink r:id="rId53">
        <w:r>
          <w:rPr>
            <w:color w:val="205F68"/>
            <w:sz w:val="19"/>
          </w:rPr>
          <w:t>Open primary source</w:t>
        </w:r>
      </w:hyperlink>
    </w:p>
    <w:p>
      <w:bookmarkStart w:id="67" w:name="ref40"/>
      <w:pPr>
        <w:keepNext/>
        <w:spacing w:after="60"/>
      </w:pPr>
      <w:bookmarkEnd w:id="67"/>
      <w:r>
        <w:rPr>
          <w:b/>
          <w:sz w:val="20"/>
        </w:rPr>
        <w:t>[40] Publication guidelines for human heart rate and HRV studies in psychophysiology Part 1</w:t>
      </w:r>
    </w:p>
    <w:p>
      <w:pPr>
        <w:spacing w:after="180" w:line="252" w:lineRule="auto"/>
      </w:pPr>
      <w:r>
        <w:rPr>
          <w:sz w:val="19"/>
        </w:rPr>
        <w:t>2024 • Methods committee report</w:t>
        <w:br/>
      </w:r>
      <w:hyperlink r:id="rId54">
        <w:r>
          <w:rPr>
            <w:color w:val="205F68"/>
            <w:sz w:val="19"/>
          </w:rPr>
          <w:t>Open primary source</w:t>
        </w:r>
      </w:hyperlink>
    </w:p>
    <w:p>
      <w:bookmarkStart w:id="68" w:name="ref41"/>
      <w:pPr>
        <w:keepNext/>
        <w:spacing w:after="60"/>
      </w:pPr>
      <w:bookmarkEnd w:id="68"/>
      <w:r>
        <w:rPr>
          <w:b/>
          <w:sz w:val="20"/>
        </w:rPr>
        <w:t>[41] Guidelines for rigor and reproducibility of HRV within human cardiovascular research</w:t>
      </w:r>
    </w:p>
    <w:p>
      <w:pPr>
        <w:spacing w:after="180" w:line="252" w:lineRule="auto"/>
      </w:pPr>
      <w:r>
        <w:rPr>
          <w:sz w:val="19"/>
        </w:rPr>
        <w:t>2026 • Methods guidance</w:t>
        <w:br/>
      </w:r>
      <w:hyperlink r:id="rId55">
        <w:r>
          <w:rPr>
            <w:color w:val="205F68"/>
            <w:sz w:val="19"/>
          </w:rPr>
          <w:t>Open primary source</w:t>
        </w:r>
      </w:hyperlink>
    </w:p>
    <w:p>
      <w:bookmarkStart w:id="69" w:name="ref42"/>
      <w:pPr>
        <w:keepNext/>
        <w:spacing w:after="60"/>
      </w:pPr>
      <w:bookmarkEnd w:id="69"/>
      <w:r>
        <w:rPr>
          <w:b/>
          <w:sz w:val="20"/>
        </w:rPr>
        <w:t>[42] Stavrakis and colleagues — TREAT AF randomized trial</w:t>
      </w:r>
    </w:p>
    <w:p>
      <w:pPr>
        <w:spacing w:after="180" w:line="252" w:lineRule="auto"/>
      </w:pPr>
      <w:r>
        <w:rPr>
          <w:sz w:val="19"/>
        </w:rPr>
        <w:t>2020 • Small sham controlled randomized trial</w:t>
        <w:br/>
      </w:r>
      <w:hyperlink r:id="rId56">
        <w:r>
          <w:rPr>
            <w:color w:val="205F68"/>
            <w:sz w:val="19"/>
          </w:rPr>
          <w:t>Open primary source</w:t>
        </w:r>
      </w:hyperlink>
    </w:p>
    <w:p>
      <w:bookmarkStart w:id="70" w:name="ref43"/>
      <w:pPr>
        <w:keepNext/>
        <w:spacing w:after="60"/>
      </w:pPr>
      <w:bookmarkEnd w:id="70"/>
      <w:r>
        <w:rPr>
          <w:b/>
          <w:sz w:val="20"/>
        </w:rPr>
        <w:t>[43] Electrical storm treatment by percutaneous stellate ganglion block STAR study</w:t>
      </w:r>
    </w:p>
    <w:p>
      <w:pPr>
        <w:spacing w:after="180" w:line="252" w:lineRule="auto"/>
      </w:pPr>
      <w:r>
        <w:rPr>
          <w:sz w:val="19"/>
        </w:rPr>
        <w:t>2024 • Prospective observational study</w:t>
        <w:br/>
      </w:r>
      <w:hyperlink r:id="rId57">
        <w:r>
          <w:rPr>
            <w:color w:val="205F68"/>
            <w:sz w:val="19"/>
          </w:rPr>
          <w:t>Open primary source</w:t>
        </w:r>
      </w:hyperlink>
    </w:p>
    <w:p>
      <w:bookmarkStart w:id="71" w:name="ref44"/>
      <w:pPr>
        <w:keepNext/>
        <w:spacing w:after="60"/>
      </w:pPr>
      <w:bookmarkEnd w:id="71"/>
      <w:r>
        <w:rPr>
          <w:b/>
          <w:sz w:val="20"/>
        </w:rPr>
        <w:t>[44] Dawson and colleagues — VNS REHAB pivotal device trial</w:t>
      </w:r>
    </w:p>
    <w:p>
      <w:pPr>
        <w:spacing w:after="180" w:line="252" w:lineRule="auto"/>
      </w:pPr>
      <w:r>
        <w:rPr>
          <w:sz w:val="19"/>
        </w:rPr>
        <w:t>24 April 2021 • Randomized blinded device trial</w:t>
        <w:br/>
      </w:r>
      <w:hyperlink r:id="rId58">
        <w:r>
          <w:rPr>
            <w:color w:val="205F68"/>
            <w:sz w:val="19"/>
          </w:rPr>
          <w:t>Open primary source</w:t>
        </w:r>
      </w:hyperlink>
    </w:p>
    <w:p>
      <w:bookmarkStart w:id="72" w:name="ref45"/>
      <w:pPr>
        <w:keepNext/>
        <w:spacing w:after="60"/>
      </w:pPr>
      <w:bookmarkEnd w:id="72"/>
      <w:r>
        <w:rPr>
          <w:b/>
          <w:sz w:val="20"/>
        </w:rPr>
        <w:t>[45] FDA — Vivistim Paired VNS system PMA P210007</w:t>
      </w:r>
    </w:p>
    <w:p>
      <w:pPr>
        <w:spacing w:after="180" w:line="252" w:lineRule="auto"/>
      </w:pPr>
      <w:r>
        <w:rPr>
          <w:sz w:val="19"/>
        </w:rPr>
        <w:t>27 August 2021; current record accessed 29 September 2026 • Regulatory record</w:t>
        <w:br/>
      </w:r>
      <w:hyperlink r:id="rId59">
        <w:r>
          <w:rPr>
            <w:color w:val="205F68"/>
            <w:sz w:val="19"/>
          </w:rPr>
          <w:t>Open primary source</w:t>
        </w:r>
      </w:hyperlink>
    </w:p>
    <w:p>
      <w:bookmarkStart w:id="73" w:name="ref46"/>
      <w:pPr>
        <w:keepNext/>
        <w:spacing w:after="60"/>
      </w:pPr>
      <w:bookmarkEnd w:id="73"/>
      <w:r>
        <w:rPr>
          <w:b/>
          <w:sz w:val="20"/>
        </w:rPr>
        <w:t>[46] FDA — SetPoint system PMA P240039</w:t>
      </w:r>
    </w:p>
    <w:p>
      <w:pPr>
        <w:spacing w:after="180" w:line="252" w:lineRule="auto"/>
      </w:pPr>
      <w:r>
        <w:rPr>
          <w:sz w:val="19"/>
        </w:rPr>
        <w:t>30 July 2025 • Regulatory record</w:t>
        <w:br/>
      </w:r>
      <w:hyperlink r:id="rId60">
        <w:r>
          <w:rPr>
            <w:color w:val="205F68"/>
            <w:sz w:val="19"/>
          </w:rPr>
          <w:t>Open primary source</w:t>
        </w:r>
      </w:hyperlink>
    </w:p>
    <w:p>
      <w:bookmarkStart w:id="74" w:name="ref47"/>
      <w:pPr>
        <w:keepNext/>
        <w:spacing w:after="60"/>
      </w:pPr>
      <w:bookmarkEnd w:id="74"/>
      <w:r>
        <w:rPr>
          <w:b/>
          <w:sz w:val="20"/>
        </w:rPr>
        <w:t>[47] Yadav and colleagues — A triple node heart brain neuroimmune loop underlying myocardial infarction</w:t>
      </w:r>
    </w:p>
    <w:p>
      <w:pPr>
        <w:spacing w:after="180" w:line="252" w:lineRule="auto"/>
      </w:pPr>
      <w:r>
        <w:rPr>
          <w:sz w:val="19"/>
        </w:rPr>
        <w:t>2026 • Mechanistic animal study in Cell</w:t>
        <w:br/>
      </w:r>
      <w:hyperlink r:id="rId61">
        <w:r>
          <w:rPr>
            <w:color w:val="205F68"/>
            <w:sz w:val="19"/>
          </w:rPr>
          <w:t>Open primary source</w:t>
        </w:r>
      </w:hyperlink>
    </w:p>
    <w:p>
      <w:bookmarkStart w:id="75" w:name="ref48"/>
      <w:pPr>
        <w:keepNext/>
        <w:spacing w:after="60"/>
      </w:pPr>
      <w:bookmarkEnd w:id="75"/>
      <w:r>
        <w:rPr>
          <w:b/>
          <w:sz w:val="20"/>
        </w:rPr>
        <w:t>[48] Mobia Medical — Initial public offering pricing</w:t>
      </w:r>
    </w:p>
    <w:p>
      <w:pPr>
        <w:spacing w:after="180" w:line="252" w:lineRule="auto"/>
      </w:pPr>
      <w:r>
        <w:rPr>
          <w:sz w:val="19"/>
        </w:rPr>
        <w:t>7 May 2026 • Company financial announcement</w:t>
        <w:br/>
      </w:r>
      <w:hyperlink r:id="rId62">
        <w:r>
          <w:rPr>
            <w:color w:val="205F68"/>
            <w:sz w:val="19"/>
          </w:rPr>
          <w:t>Open primary source</w:t>
        </w:r>
      </w:hyperlink>
    </w:p>
    <w:p>
      <w:bookmarkStart w:id="76" w:name="ref49"/>
      <w:pPr>
        <w:keepNext/>
        <w:spacing w:after="60"/>
      </w:pPr>
      <w:bookmarkEnd w:id="76"/>
      <w:r>
        <w:rPr>
          <w:b/>
          <w:sz w:val="20"/>
        </w:rPr>
        <w:t>[49] Mobia Medical — Second quarter 2026 Form 10 Q</w:t>
      </w:r>
    </w:p>
    <w:p>
      <w:pPr>
        <w:spacing w:after="180" w:line="252" w:lineRule="auto"/>
      </w:pPr>
      <w:r>
        <w:rPr>
          <w:sz w:val="19"/>
        </w:rPr>
        <w:t>2026 • SEC filing confirming rename and completed IPO</w:t>
        <w:br/>
      </w:r>
      <w:hyperlink r:id="rId63">
        <w:r>
          <w:rPr>
            <w:color w:val="205F68"/>
            <w:sz w:val="19"/>
          </w:rPr>
          <w:t>Open primary source</w:t>
        </w:r>
      </w:hyperlink>
    </w:p>
    <w:p>
      <w:bookmarkStart w:id="77" w:name="ref50"/>
      <w:pPr>
        <w:keepNext/>
        <w:spacing w:after="60"/>
      </w:pPr>
      <w:bookmarkEnd w:id="77"/>
      <w:r>
        <w:rPr>
          <w:b/>
          <w:sz w:val="20"/>
        </w:rPr>
        <w:t>[50] Aurenar — Oversubscribed 5 point 7 million dollar seed financing</w:t>
      </w:r>
    </w:p>
    <w:p>
      <w:pPr>
        <w:spacing w:after="180" w:line="252" w:lineRule="auto"/>
      </w:pPr>
      <w:r>
        <w:rPr>
          <w:sz w:val="19"/>
        </w:rPr>
        <w:t>28 July 2026 • Company issued announcement</w:t>
        <w:br/>
      </w:r>
      <w:hyperlink r:id="rId64">
        <w:r>
          <w:rPr>
            <w:color w:val="205F68"/>
            <w:sz w:val="19"/>
          </w:rPr>
          <w:t>Open primary source</w:t>
        </w:r>
      </w:hyperlink>
    </w:p>
    <w:p>
      <w:bookmarkStart w:id="78" w:name="ref51"/>
      <w:pPr>
        <w:keepNext/>
        <w:spacing w:after="60"/>
      </w:pPr>
      <w:bookmarkEnd w:id="78"/>
      <w:r>
        <w:rPr>
          <w:b/>
          <w:sz w:val="20"/>
        </w:rPr>
        <w:t>[51] iRhythm — Agreement to acquire VitalConnect</w:t>
      </w:r>
    </w:p>
    <w:p>
      <w:pPr>
        <w:spacing w:after="180" w:line="252" w:lineRule="auto"/>
      </w:pPr>
      <w:r>
        <w:rPr>
          <w:sz w:val="19"/>
        </w:rPr>
        <w:t>6 August 2026 • Company announcement filed with SEC</w:t>
        <w:br/>
      </w:r>
      <w:hyperlink r:id="rId65">
        <w:r>
          <w:rPr>
            <w:color w:val="205F68"/>
            <w:sz w:val="19"/>
          </w:rPr>
          <w:t>Open primary source</w:t>
        </w:r>
      </w:hyperlink>
    </w:p>
    <w:p>
      <w:bookmarkStart w:id="79" w:name="ref52"/>
      <w:pPr>
        <w:keepNext/>
        <w:spacing w:after="60"/>
      </w:pPr>
      <w:bookmarkEnd w:id="79"/>
      <w:r>
        <w:rPr>
          <w:b/>
          <w:sz w:val="20"/>
        </w:rPr>
        <w:t>[52] Boston Scientific — Second quarter 2026 Form 10 Q</w:t>
      </w:r>
    </w:p>
    <w:p>
      <w:pPr>
        <w:spacing w:after="180" w:line="252" w:lineRule="auto"/>
      </w:pPr>
      <w:r>
        <w:rPr>
          <w:sz w:val="19"/>
        </w:rPr>
        <w:t>2026 • SEC filing describing pending Penumbra acquisition</w:t>
        <w:br/>
      </w:r>
      <w:hyperlink r:id="rId66">
        <w:r>
          <w:rPr>
            <w:color w:val="205F68"/>
            <w:sz w:val="19"/>
          </w:rPr>
          <w:t>Open primary source</w:t>
        </w:r>
      </w:hyperlink>
    </w:p>
    <w:p>
      <w:bookmarkStart w:id="80" w:name="ref53"/>
      <w:pPr>
        <w:keepNext/>
        <w:spacing w:after="60"/>
      </w:pPr>
      <w:bookmarkEnd w:id="80"/>
      <w:r>
        <w:rPr>
          <w:b/>
          <w:sz w:val="20"/>
        </w:rPr>
        <w:t>[53] FDA — Apple hypertension notification feature K250507</w:t>
      </w:r>
    </w:p>
    <w:p>
      <w:pPr>
        <w:spacing w:after="180" w:line="252" w:lineRule="auto"/>
      </w:pPr>
      <w:r>
        <w:rPr>
          <w:sz w:val="19"/>
        </w:rPr>
        <w:t>2025 • 510 k clearance and validation summary</w:t>
        <w:br/>
      </w:r>
      <w:hyperlink r:id="rId67">
        <w:r>
          <w:rPr>
            <w:color w:val="205F68"/>
            <w:sz w:val="19"/>
          </w:rPr>
          <w:t>Open primary source</w:t>
        </w:r>
      </w:hyperlink>
    </w:p>
    <w:p>
      <w:bookmarkStart w:id="81" w:name="ref54"/>
      <w:pPr>
        <w:keepNext/>
        <w:spacing w:after="60"/>
      </w:pPr>
      <w:bookmarkEnd w:id="81"/>
      <w:r>
        <w:rPr>
          <w:b/>
          <w:sz w:val="20"/>
        </w:rPr>
        <w:t>[54] NextSense — Smartbuds product and technical description</w:t>
      </w:r>
    </w:p>
    <w:p>
      <w:pPr>
        <w:spacing w:after="180" w:line="252" w:lineRule="auto"/>
      </w:pPr>
      <w:r>
        <w:rPr>
          <w:sz w:val="19"/>
        </w:rPr>
        <w:t>Accessed 29 September 2026 • Company product description</w:t>
        <w:br/>
      </w:r>
      <w:hyperlink r:id="rId68">
        <w:r>
          <w:rPr>
            <w:color w:val="205F68"/>
            <w:sz w:val="19"/>
          </w:rPr>
          <w:t>Open primary source</w:t>
        </w:r>
      </w:hyperlink>
    </w:p>
    <w:p>
      <w:bookmarkStart w:id="82" w:name="ref55"/>
      <w:pPr>
        <w:keepNext/>
        <w:spacing w:after="60"/>
      </w:pPr>
      <w:bookmarkEnd w:id="82"/>
      <w:r>
        <w:rPr>
          <w:b/>
          <w:sz w:val="20"/>
        </w:rPr>
        <w:t>[55] Beacon Biosignals — Dreem acquisition and Waveband naming update</w:t>
      </w:r>
    </w:p>
    <w:p>
      <w:pPr>
        <w:spacing w:after="180" w:line="252" w:lineRule="auto"/>
      </w:pPr>
      <w:r>
        <w:rPr>
          <w:sz w:val="19"/>
        </w:rPr>
        <w:t>11 July 2023; update June 2025 • Company disclosure</w:t>
        <w:br/>
      </w:r>
      <w:hyperlink r:id="rId69">
        <w:r>
          <w:rPr>
            <w:color w:val="205F68"/>
            <w:sz w:val="19"/>
          </w:rPr>
          <w:t>Open primary source</w:t>
        </w:r>
      </w:hyperlink>
    </w:p>
    <w:p>
      <w:bookmarkStart w:id="83" w:name="ref56"/>
      <w:pPr>
        <w:keepNext/>
        <w:spacing w:after="60"/>
      </w:pPr>
      <w:bookmarkEnd w:id="83"/>
      <w:r>
        <w:rPr>
          <w:b/>
          <w:sz w:val="20"/>
        </w:rPr>
        <w:t>[56] Beacon Biosignals — News register including financing and collaborations</w:t>
      </w:r>
    </w:p>
    <w:p>
      <w:pPr>
        <w:spacing w:after="180" w:line="252" w:lineRule="auto"/>
      </w:pPr>
      <w:r>
        <w:rPr>
          <w:sz w:val="19"/>
        </w:rPr>
        <w:t>2025 to March 2026 • Company announcement register</w:t>
        <w:br/>
      </w:r>
      <w:hyperlink r:id="rId70">
        <w:r>
          <w:rPr>
            <w:color w:val="205F68"/>
            <w:sz w:val="19"/>
          </w:rPr>
          <w:t>Open primary source</w:t>
        </w:r>
      </w:hyperlink>
    </w:p>
    <w:p>
      <w:bookmarkStart w:id="84" w:name="ref57"/>
      <w:pPr>
        <w:keepNext/>
        <w:spacing w:after="60"/>
      </w:pPr>
      <w:bookmarkEnd w:id="84"/>
      <w:r>
        <w:rPr>
          <w:b/>
          <w:sz w:val="20"/>
        </w:rPr>
        <w:t>[57] Nyrada — 2026 annual report</w:t>
      </w:r>
    </w:p>
    <w:p>
      <w:pPr>
        <w:spacing w:after="180" w:line="252" w:lineRule="auto"/>
      </w:pPr>
      <w:r>
        <w:rPr>
          <w:sz w:val="19"/>
        </w:rPr>
        <w:t>2026 reporting year ended 30 June • Company disclosure on Xolatryp and PROTECT MI</w:t>
        <w:br/>
      </w:r>
      <w:hyperlink r:id="rId71">
        <w:r>
          <w:rPr>
            <w:color w:val="205F68"/>
            <w:sz w:val="19"/>
          </w:rPr>
          <w:t>Open primary source</w:t>
        </w:r>
      </w:hyperlink>
    </w:p>
    <w:p>
      <w:bookmarkStart w:id="85" w:name="ref58"/>
      <w:pPr>
        <w:keepNext/>
        <w:spacing w:after="60"/>
      </w:pPr>
      <w:bookmarkEnd w:id="85"/>
      <w:r>
        <w:rPr>
          <w:b/>
          <w:sz w:val="20"/>
        </w:rPr>
        <w:t>[58] Medtronic — Insertable cardiac monitoring portfolio</w:t>
      </w:r>
    </w:p>
    <w:p>
      <w:pPr>
        <w:spacing w:after="180" w:line="252" w:lineRule="auto"/>
      </w:pPr>
      <w:r>
        <w:rPr>
          <w:sz w:val="19"/>
        </w:rPr>
        <w:t>Accessed 29 September 2026 • Company product labeling</w:t>
        <w:br/>
      </w:r>
      <w:hyperlink r:id="rId72">
        <w:r>
          <w:rPr>
            <w:color w:val="205F68"/>
            <w:sz w:val="19"/>
          </w:rPr>
          <w:t>Open primary source</w:t>
        </w:r>
      </w:hyperlink>
    </w:p>
    <w:p>
      <w:bookmarkStart w:id="86" w:name="ref59"/>
      <w:pPr>
        <w:keepNext/>
        <w:spacing w:after="60"/>
      </w:pPr>
      <w:bookmarkEnd w:id="86"/>
      <w:r>
        <w:rPr>
          <w:b/>
          <w:sz w:val="20"/>
        </w:rPr>
        <w:t>[59] Abbott — Assert IQ insertable cardiac monitor</w:t>
      </w:r>
    </w:p>
    <w:p>
      <w:pPr>
        <w:spacing w:after="180" w:line="252" w:lineRule="auto"/>
      </w:pPr>
      <w:r>
        <w:rPr>
          <w:sz w:val="19"/>
        </w:rPr>
        <w:t>Accessed 29 September 2026 • Company product description</w:t>
        <w:br/>
      </w:r>
      <w:hyperlink r:id="rId73">
        <w:r>
          <w:rPr>
            <w:color w:val="205F68"/>
            <w:sz w:val="19"/>
          </w:rPr>
          <w:t>Open primary source</w:t>
        </w:r>
      </w:hyperlink>
    </w:p>
    <w:p>
      <w:bookmarkStart w:id="87" w:name="ref60"/>
      <w:pPr>
        <w:keepNext/>
        <w:spacing w:after="60"/>
      </w:pPr>
      <w:bookmarkEnd w:id="87"/>
      <w:r>
        <w:rPr>
          <w:b/>
          <w:sz w:val="20"/>
        </w:rPr>
        <w:t>[60] Philips — Ambulatory monitoring in cardiac care</w:t>
      </w:r>
    </w:p>
    <w:p>
      <w:pPr>
        <w:spacing w:after="180" w:line="252" w:lineRule="auto"/>
      </w:pPr>
      <w:r>
        <w:rPr>
          <w:sz w:val="19"/>
        </w:rPr>
        <w:t>3 March 2025 • Company description and model based economics</w:t>
        <w:br/>
      </w:r>
      <w:hyperlink r:id="rId74">
        <w:r>
          <w:rPr>
            <w:color w:val="205F68"/>
            <w:sz w:val="19"/>
          </w:rPr>
          <w:t>Open primary source</w:t>
        </w:r>
      </w:hyperlink>
    </w:p>
    <w:p>
      <w:bookmarkStart w:id="88" w:name="ref61"/>
      <w:pPr>
        <w:keepNext/>
        <w:spacing w:after="60"/>
      </w:pPr>
      <w:bookmarkEnd w:id="88"/>
      <w:r>
        <w:rPr>
          <w:b/>
          <w:sz w:val="20"/>
        </w:rPr>
        <w:t>[61] AliveCor — New FDA cleared determinations for Kardia 12L</w:t>
      </w:r>
    </w:p>
    <w:p>
      <w:pPr>
        <w:spacing w:after="180" w:line="252" w:lineRule="auto"/>
      </w:pPr>
      <w:r>
        <w:rPr>
          <w:sz w:val="19"/>
        </w:rPr>
        <w:t>2026 • Company regulatory announcement</w:t>
        <w:br/>
      </w:r>
      <w:hyperlink r:id="rId75">
        <w:r>
          <w:rPr>
            <w:color w:val="205F68"/>
            <w:sz w:val="19"/>
          </w:rPr>
          <w:t>Open primary source</w:t>
        </w:r>
      </w:hyperlink>
    </w:p>
    <w:p>
      <w:bookmarkStart w:id="89" w:name="ref62"/>
      <w:pPr>
        <w:keepNext/>
        <w:spacing w:after="60"/>
      </w:pPr>
      <w:bookmarkEnd w:id="89"/>
      <w:r>
        <w:rPr>
          <w:b/>
          <w:sz w:val="20"/>
        </w:rPr>
        <w:t>[62] Empatica — EpiMonitor frequently asked questions</w:t>
      </w:r>
    </w:p>
    <w:p>
      <w:pPr>
        <w:spacing w:after="180" w:line="252" w:lineRule="auto"/>
      </w:pPr>
      <w:r>
        <w:rPr>
          <w:sz w:val="19"/>
        </w:rPr>
        <w:t>Accessed 29 September 2026 • Company product scope</w:t>
        <w:br/>
      </w:r>
      <w:hyperlink r:id="rId76">
        <w:r>
          <w:rPr>
            <w:color w:val="205F68"/>
            <w:sz w:val="19"/>
          </w:rPr>
          <w:t>Open primary source</w:t>
        </w:r>
      </w:hyperlink>
    </w:p>
    <w:p>
      <w:bookmarkStart w:id="90" w:name="ref63"/>
      <w:pPr>
        <w:keepNext/>
        <w:spacing w:after="60"/>
      </w:pPr>
      <w:bookmarkEnd w:id="90"/>
      <w:r>
        <w:rPr>
          <w:b/>
          <w:sz w:val="20"/>
        </w:rPr>
        <w:t>[63] RapidAI — Product announcement register</w:t>
      </w:r>
    </w:p>
    <w:p>
      <w:pPr>
        <w:spacing w:after="180" w:line="252" w:lineRule="auto"/>
      </w:pPr>
      <w:r>
        <w:rPr>
          <w:sz w:val="19"/>
        </w:rPr>
        <w:t>2025 to 2026 • Company announcement register</w:t>
        <w:br/>
      </w:r>
      <w:hyperlink r:id="rId77">
        <w:r>
          <w:rPr>
            <w:color w:val="205F68"/>
            <w:sz w:val="19"/>
          </w:rPr>
          <w:t>Open primary source</w:t>
        </w:r>
      </w:hyperlink>
    </w:p>
    <w:p>
      <w:bookmarkStart w:id="91" w:name="ref64"/>
      <w:pPr>
        <w:keepNext/>
        <w:spacing w:after="60"/>
      </w:pPr>
      <w:bookmarkEnd w:id="91"/>
      <w:r>
        <w:rPr>
          <w:b/>
          <w:sz w:val="20"/>
        </w:rPr>
        <w:t>[64] Viz ai — Neurovascular platform brochure</w:t>
      </w:r>
    </w:p>
    <w:p>
      <w:pPr>
        <w:spacing w:after="180" w:line="252" w:lineRule="auto"/>
      </w:pPr>
      <w:r>
        <w:rPr>
          <w:sz w:val="19"/>
        </w:rPr>
        <w:t>2023 brochure; accessed 29 September 2026 • Company product overview</w:t>
        <w:br/>
      </w:r>
      <w:hyperlink r:id="rId78">
        <w:r>
          <w:rPr>
            <w:color w:val="205F68"/>
            <w:sz w:val="19"/>
          </w:rPr>
          <w:t>Open primary source</w:t>
        </w:r>
      </w:hyperlink>
    </w:p>
    <w:p>
      <w:bookmarkStart w:id="92" w:name="ref65"/>
      <w:pPr>
        <w:keepNext/>
        <w:spacing w:after="60"/>
      </w:pPr>
      <w:bookmarkEnd w:id="92"/>
      <w:r>
        <w:rPr>
          <w:b/>
          <w:sz w:val="20"/>
        </w:rPr>
        <w:t>[65] FDA — General wellness policy for low risk devices</w:t>
      </w:r>
    </w:p>
    <w:p>
      <w:pPr>
        <w:spacing w:after="180" w:line="252" w:lineRule="auto"/>
      </w:pPr>
      <w:r>
        <w:rPr>
          <w:sz w:val="19"/>
        </w:rPr>
        <w:t>6 January 2026 • Final regulatory guidance</w:t>
        <w:br/>
      </w:r>
      <w:hyperlink r:id="rId79">
        <w:r>
          <w:rPr>
            <w:color w:val="205F68"/>
            <w:sz w:val="19"/>
          </w:rPr>
          <w:t>Open primary source</w:t>
        </w:r>
      </w:hyperlink>
    </w:p>
    <w:p>
      <w:bookmarkStart w:id="93" w:name="ref66"/>
      <w:pPr>
        <w:keepNext/>
        <w:spacing w:after="60"/>
      </w:pPr>
      <w:bookmarkEnd w:id="93"/>
      <w:r>
        <w:rPr>
          <w:b/>
          <w:sz w:val="20"/>
        </w:rPr>
        <w:t>[66] FDA — Clinical decision support software</w:t>
      </w:r>
    </w:p>
    <w:p>
      <w:pPr>
        <w:spacing w:after="180" w:line="252" w:lineRule="auto"/>
      </w:pPr>
      <w:r>
        <w:rPr>
          <w:sz w:val="19"/>
        </w:rPr>
        <w:t>29 January 2026 reissue • Final regulatory guidance</w:t>
        <w:br/>
      </w:r>
      <w:hyperlink r:id="rId80">
        <w:r>
          <w:rPr>
            <w:color w:val="205F68"/>
            <w:sz w:val="19"/>
          </w:rPr>
          <w:t>Open primary source</w:t>
        </w:r>
      </w:hyperlink>
    </w:p>
    <w:p>
      <w:bookmarkStart w:id="94" w:name="ref67"/>
      <w:pPr>
        <w:keepNext/>
        <w:spacing w:after="60"/>
      </w:pPr>
      <w:bookmarkEnd w:id="94"/>
      <w:r>
        <w:rPr>
          <w:b/>
          <w:sz w:val="20"/>
        </w:rPr>
        <w:t>[67] HHS — Personal cell phone and tablet health information privacy</w:t>
      </w:r>
    </w:p>
    <w:p>
      <w:pPr>
        <w:spacing w:after="180" w:line="252" w:lineRule="auto"/>
      </w:pPr>
      <w:r>
        <w:rPr>
          <w:sz w:val="19"/>
        </w:rPr>
        <w:t>Accessed 29 September 2026 • Government privacy guidance</w:t>
        <w:br/>
      </w:r>
      <w:hyperlink r:id="rId81">
        <w:r>
          <w:rPr>
            <w:color w:val="205F68"/>
            <w:sz w:val="19"/>
          </w:rPr>
          <w:t>Open primary source</w:t>
        </w:r>
      </w:hyperlink>
    </w:p>
    <w:p>
      <w:bookmarkStart w:id="95" w:name="ref68"/>
      <w:pPr>
        <w:keepNext/>
        <w:spacing w:after="60"/>
      </w:pPr>
      <w:bookmarkEnd w:id="95"/>
      <w:r>
        <w:rPr>
          <w:b/>
          <w:sz w:val="20"/>
        </w:rPr>
        <w:t>[68] Recor Medical — News register including Japan reimbursement and commercialization</w:t>
      </w:r>
    </w:p>
    <w:p>
      <w:pPr>
        <w:spacing w:after="180" w:line="252" w:lineRule="auto"/>
      </w:pPr>
      <w:r>
        <w:rPr>
          <w:sz w:val="19"/>
        </w:rPr>
        <w:t>March to August 2026 • Company announcement register</w:t>
        <w:br/>
      </w:r>
      <w:hyperlink r:id="rId82">
        <w:r>
          <w:rPr>
            <w:color w:val="205F68"/>
            <w:sz w:val="19"/>
          </w:rPr>
          <w:t>Open primary source</w:t>
        </w:r>
      </w:hyperlink>
    </w:p>
    <w:p>
      <w:bookmarkStart w:id="96" w:name="ref69"/>
      <w:pPr>
        <w:keepNext/>
        <w:spacing w:after="60"/>
      </w:pPr>
      <w:bookmarkEnd w:id="96"/>
      <w:r>
        <w:rPr>
          <w:b/>
          <w:sz w:val="20"/>
        </w:rPr>
        <w:t>[69] Gottlieb and colleagues — CPAP versus oxygen in obstructive sleep apnea HeartBEAT</w:t>
      </w:r>
    </w:p>
    <w:p>
      <w:pPr>
        <w:spacing w:after="180" w:line="252" w:lineRule="auto"/>
      </w:pPr>
      <w:r>
        <w:rPr>
          <w:sz w:val="19"/>
        </w:rPr>
        <w:t>2014 • Randomized trial</w:t>
        <w:br/>
      </w:r>
      <w:hyperlink r:id="rId83">
        <w:r>
          <w:rPr>
            <w:color w:val="205F68"/>
            <w:sz w:val="19"/>
          </w:rPr>
          <w:t>Open primary source</w:t>
        </w:r>
      </w:hyperlink>
    </w:p>
    <w:p>
      <w:bookmarkStart w:id="97" w:name="ref70"/>
      <w:pPr>
        <w:keepNext/>
        <w:spacing w:after="60"/>
      </w:pPr>
      <w:bookmarkEnd w:id="97"/>
      <w:r>
        <w:rPr>
          <w:b/>
          <w:sz w:val="20"/>
        </w:rPr>
        <w:t>[70] NHLBI — Sleep and circadian rhythms in cardiovascular resilience</w:t>
      </w:r>
    </w:p>
    <w:p>
      <w:pPr>
        <w:spacing w:after="180" w:line="252" w:lineRule="auto"/>
      </w:pPr>
      <w:r>
        <w:rPr>
          <w:sz w:val="19"/>
        </w:rPr>
        <w:t>2024 • Research workshop agenda and scientific abstracts</w:t>
        <w:br/>
      </w:r>
      <w:hyperlink r:id="rId84">
        <w:r>
          <w:rPr>
            <w:color w:val="205F68"/>
            <w:sz w:val="19"/>
          </w:rPr>
          <w:t>Open primary source</w:t>
        </w:r>
      </w:hyperlink>
    </w:p>
    <w:p>
      <w:bookmarkStart w:id="98" w:name="ref71"/>
      <w:pPr>
        <w:keepNext/>
        <w:spacing w:after="60"/>
      </w:pPr>
      <w:bookmarkEnd w:id="98"/>
      <w:r>
        <w:rPr>
          <w:b/>
          <w:sz w:val="20"/>
        </w:rPr>
        <w:t>[71] van Weperen and Vaseghi — Cardiovascular disease effects on the CNS and central neuromodulation</w:t>
      </w:r>
    </w:p>
    <w:p>
      <w:pPr>
        <w:spacing w:after="180" w:line="252" w:lineRule="auto"/>
      </w:pPr>
      <w:r>
        <w:rPr>
          <w:sz w:val="19"/>
        </w:rPr>
        <w:t>Online 11 December 2025; 2026 issue • Scientific review</w:t>
        <w:br/>
      </w:r>
      <w:hyperlink r:id="rId85">
        <w:r>
          <w:rPr>
            <w:color w:val="205F68"/>
            <w:sz w:val="19"/>
          </w:rPr>
          <w:t>Open primary source</w:t>
        </w:r>
      </w:hyperlink>
    </w:p>
    <w:p>
      <w:bookmarkStart w:id="99" w:name="ref72"/>
      <w:pPr>
        <w:keepNext/>
        <w:spacing w:after="60"/>
      </w:pPr>
      <w:bookmarkEnd w:id="99"/>
      <w:r>
        <w:rPr>
          <w:b/>
          <w:sz w:val="20"/>
        </w:rPr>
        <w:t>[72] iRhythm — FDA cleared AI and Zio monitoring service</w:t>
      </w:r>
    </w:p>
    <w:p>
      <w:pPr>
        <w:spacing w:after="180" w:line="252" w:lineRule="auto"/>
      </w:pPr>
      <w:r>
        <w:rPr>
          <w:sz w:val="19"/>
        </w:rPr>
        <w:t>Accessed 29 September 2026 • Company product description</w:t>
        <w:br/>
      </w:r>
      <w:hyperlink r:id="rId86">
        <w:r>
          <w:rPr>
            <w:color w:val="205F68"/>
            <w:sz w:val="19"/>
          </w:rPr>
          <w:t>Open primary source</w:t>
        </w:r>
      </w:hyperlink>
    </w:p>
    <w:sectPr w:rsidR="00FC693F" w:rsidRPr="0006063C" w:rsidSect="00034616">
      <w:headerReference w:type="default" r:id="rId9"/>
      <w:footerReference w:type="default" r:id="rId10"/>
      <w:pgSz w:w="12240" w:h="15840"/>
      <w:pgMar w:top="1008" w:right="1008" w:bottom="936" w:left="1008" w:header="389" w:footer="389"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spacing w:before="0"/>
    </w:pPr>
    <w:r>
      <w:rPr>
        <w:sz w:val="16"/>
      </w:rPr>
      <w:t>RESEARCH CUTOFF 29 SEPTEMBER 2026</w:t>
    </w:r>
    <w:r>
      <w:tab/>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NEUROCARDIA  /  SCIENCE • MARKET • EXPERIENCE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200"/>
      <w:outlineLvl w:val="0"/>
    </w:pPr>
    <w:rPr>
      <w:rFonts w:asciiTheme="majorHAnsi" w:eastAsiaTheme="majorEastAsia" w:hAnsiTheme="majorHAnsi" w:cstheme="majorBidi" w:ascii="Arial" w:hAnsi="Arial"/>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rial" w:hAnsi="Arial"/>
      <w:b/>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val="0"/>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200"/>
    </w:pPr>
    <w:rPr>
      <w:rFonts w:ascii="Arial" w:hAnsi="Arial"/>
      <w:b w:val="0"/>
      <w:bCs/>
      <w:color w:val="41565C"/>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nhlbi.nih.gov/health/heart/heart-beats" TargetMode="External"/><Relationship Id="rId16" Type="http://schemas.openxmlformats.org/officeDocument/2006/relationships/hyperlink" Target="https://pmc.ncbi.nlm.nih.gov/articles/PMC13065251/" TargetMode="External"/><Relationship Id="rId17" Type="http://schemas.openxmlformats.org/officeDocument/2006/relationships/hyperlink" Target="https://www.nature.com/articles/s41569-025-01140-3" TargetMode="External"/><Relationship Id="rId18" Type="http://schemas.openxmlformats.org/officeDocument/2006/relationships/hyperlink" Target="https://www.cdc.gov/stroke/data-research/facts-stats/index.html" TargetMode="External"/><Relationship Id="rId19" Type="http://schemas.openxmlformats.org/officeDocument/2006/relationships/hyperlink" Target="https://www.cdc.gov/heart-disease/about/heart-failure.html" TargetMode="External"/><Relationship Id="rId20" Type="http://schemas.openxmlformats.org/officeDocument/2006/relationships/hyperlink" Target="https://www.heart.org/en/health-topics/atrial-fibrillation/what-is-atrial-fibrillation-afib-or-af" TargetMode="External"/><Relationship Id="rId21" Type="http://schemas.openxmlformats.org/officeDocument/2006/relationships/hyperlink" Target="https://www.who.int/news-room/fact-sheets/hypertension" TargetMode="External"/><Relationship Id="rId22" Type="http://schemas.openxmlformats.org/officeDocument/2006/relationships/hyperlink" Target="https://www.jacc.org/doi/10.1016/j.jacc.2024.10.100" TargetMode="External"/><Relationship Id="rId23" Type="http://schemas.openxmlformats.org/officeDocument/2006/relationships/hyperlink" Target="https://www.nejm.org/doi/abs/10.1056/NEJMoa2310234" TargetMode="External"/><Relationship Id="rId24" Type="http://schemas.openxmlformats.org/officeDocument/2006/relationships/hyperlink" Target="https://www.nejm.org/doi/full/10.1056/NEJMoa2303062" TargetMode="External"/><Relationship Id="rId25" Type="http://schemas.openxmlformats.org/officeDocument/2006/relationships/hyperlink" Target="https://jamanetwork.com/journals/jama/fullarticle/2814933" TargetMode="External"/><Relationship Id="rId26" Type="http://schemas.openxmlformats.org/officeDocument/2006/relationships/hyperlink" Target="https://www.nature.com/articles/s41591-025-04101-y" TargetMode="External"/><Relationship Id="rId27" Type="http://schemas.openxmlformats.org/officeDocument/2006/relationships/hyperlink" Target="https://www.nejm.org/doi/10.1056/NEJMoa2517213" TargetMode="External"/><Relationship Id="rId28" Type="http://schemas.openxmlformats.org/officeDocument/2006/relationships/hyperlink" Target="https://pmc.ncbi.nlm.nih.gov/articles/9496419/" TargetMode="External"/><Relationship Id="rId29" Type="http://schemas.openxmlformats.org/officeDocument/2006/relationships/hyperlink" Target="https://jamanetwork.com/journals/jama/fullarticle/2785948" TargetMode="External"/><Relationship Id="rId30" Type="http://schemas.openxmlformats.org/officeDocument/2006/relationships/hyperlink" Target="https://www.nejm.org/doi/full/10.1056/NEJMoa1406761" TargetMode="External"/><Relationship Id="rId31" Type="http://schemas.openxmlformats.org/officeDocument/2006/relationships/hyperlink" Target="https://www.nature.com/articles/s41586-023-05748-8" TargetMode="External"/><Relationship Id="rId32" Type="http://schemas.openxmlformats.org/officeDocument/2006/relationships/hyperlink" Target="https://doi.org/10.1001/jama.2018.21442" TargetMode="External"/><Relationship Id="rId33" Type="http://schemas.openxmlformats.org/officeDocument/2006/relationships/hyperlink" Target="https://www.nature.com/articles/s41591-025-03616-8" TargetMode="External"/><Relationship Id="rId34" Type="http://schemas.openxmlformats.org/officeDocument/2006/relationships/hyperlink" Target="https://professional.heart.org/en/science-news/cardiac-contributions-to-brain-health" TargetMode="External"/><Relationship Id="rId35" Type="http://schemas.openxmlformats.org/officeDocument/2006/relationships/hyperlink" Target="https://professional.heart.org/en/science-news/2025-high-blood-pressure-guideline/top-things-to-know" TargetMode="External"/><Relationship Id="rId36" Type="http://schemas.openxmlformats.org/officeDocument/2006/relationships/hyperlink" Target="https://pubmed.ncbi.nlm.nih.gov/38606555/" TargetMode="External"/><Relationship Id="rId37" Type="http://schemas.openxmlformats.org/officeDocument/2006/relationships/hyperlink" Target="https://www.jacc.org/doi/10.1016/j.jacc.2016.03.525" TargetMode="External"/><Relationship Id="rId38" Type="http://schemas.openxmlformats.org/officeDocument/2006/relationships/hyperlink" Target="https://www.accessdata.fda.gov/scripts/cdrh/cfdocs/cfpma/pma.cfm?id=P220023" TargetMode="External"/><Relationship Id="rId39" Type="http://schemas.openxmlformats.org/officeDocument/2006/relationships/hyperlink" Target="https://www.cms.gov/medicare-coverage-database/view/ncd.aspx?ncdid=382&amp;ncdver=1" TargetMode="External"/><Relationship Id="rId40" Type="http://schemas.openxmlformats.org/officeDocument/2006/relationships/hyperlink" Target="https://ir.cvrx.com/news-releases/news-release-details/cvrx-reports-second-quarter-2026-financial-and-operating-results" TargetMode="External"/><Relationship Id="rId41" Type="http://schemas.openxmlformats.org/officeDocument/2006/relationships/hyperlink" Target="https://www.sec.gov/Archives/edgar/data/1235912/000110465926059023/cvrx-20260331x10q.htm" TargetMode="External"/><Relationship Id="rId42" Type="http://schemas.openxmlformats.org/officeDocument/2006/relationships/hyperlink" Target="https://www.nejm.org/doi/abs/10.1056/NEJMoa1606599" TargetMode="External"/><Relationship Id="rId43" Type="http://schemas.openxmlformats.org/officeDocument/2006/relationships/hyperlink" Target="https://www.nhlbi.nih.gov/health/sleep-apnea/living-with" TargetMode="External"/><Relationship Id="rId44" Type="http://schemas.openxmlformats.org/officeDocument/2006/relationships/hyperlink" Target="https://www.nature.com/articles/s41586-024-08100-w" TargetMode="External"/><Relationship Id="rId45" Type="http://schemas.openxmlformats.org/officeDocument/2006/relationships/hyperlink" Target="https://pmc.ncbi.nlm.nih.gov/articles/8455420/" TargetMode="External"/><Relationship Id="rId46" Type="http://schemas.openxmlformats.org/officeDocument/2006/relationships/hyperlink" Target="https://pubmed.ncbi.nlm.nih.gov/37999672/" TargetMode="External"/><Relationship Id="rId47" Type="http://schemas.openxmlformats.org/officeDocument/2006/relationships/hyperlink" Target="https://www.nature.com/articles/s41586-023-06680-7" TargetMode="External"/><Relationship Id="rId48" Type="http://schemas.openxmlformats.org/officeDocument/2006/relationships/hyperlink" Target="https://www.nature.com/articles/s41586-025-10010-4" TargetMode="External"/><Relationship Id="rId49" Type="http://schemas.openxmlformats.org/officeDocument/2006/relationships/hyperlink" Target="https://esc365.escardio.org/journal/78590" TargetMode="External"/><Relationship Id="rId50" Type="http://schemas.openxmlformats.org/officeDocument/2006/relationships/hyperlink" Target="https://www.niddk.nih.gov/health-information/diabetes/overview/preventing-problems/nerve-damage-diabetic-neuropathies/autonomic-neuropathy" TargetMode="External"/><Relationship Id="rId51" Type="http://schemas.openxmlformats.org/officeDocument/2006/relationships/hyperlink" Target="https://www.cdc.gov/epilepsy/sudep/index.html" TargetMode="External"/><Relationship Id="rId52" Type="http://schemas.openxmlformats.org/officeDocument/2006/relationships/hyperlink" Target="https://www.ninds.nih.gov/current-research/focus-disorders/parkinsons-disease-research/parkinsons-disease-challenges-progress-and-promise" TargetMode="External"/><Relationship Id="rId53" Type="http://schemas.openxmlformats.org/officeDocument/2006/relationships/hyperlink" Target="https://www.nejm.org/doi/full/10.1056/NEJMoa1610057" TargetMode="External"/><Relationship Id="rId54" Type="http://schemas.openxmlformats.org/officeDocument/2006/relationships/hyperlink" Target="https://pubmed.ncbi.nlm.nih.gov/38873876/" TargetMode="External"/><Relationship Id="rId55" Type="http://schemas.openxmlformats.org/officeDocument/2006/relationships/hyperlink" Target="https://pubmed.ncbi.nlm.nih.gov/42495990/" TargetMode="External"/><Relationship Id="rId56" Type="http://schemas.openxmlformats.org/officeDocument/2006/relationships/hyperlink" Target="https://pmc.ncbi.nlm.nih.gov/articles/PMC7100921/" TargetMode="External"/><Relationship Id="rId57" Type="http://schemas.openxmlformats.org/officeDocument/2006/relationships/hyperlink" Target="https://pmc.ncbi.nlm.nih.gov/articles/PMC10919918/" TargetMode="External"/><Relationship Id="rId58" Type="http://schemas.openxmlformats.org/officeDocument/2006/relationships/hyperlink" Target="https://pubmed.ncbi.nlm.nih.gov/33894832/" TargetMode="External"/><Relationship Id="rId59" Type="http://schemas.openxmlformats.org/officeDocument/2006/relationships/hyperlink" Target="https://www.accessdata.fda.gov/scripts/cdrh/cfdocs/cfpma/pma.cfm?id=P210007" TargetMode="External"/><Relationship Id="rId60" Type="http://schemas.openxmlformats.org/officeDocument/2006/relationships/hyperlink" Target="https://www.accessdata.fda.gov/scripts/cdrh/cfdocs/cfPMA/pma.cfm?id=P240039" TargetMode="External"/><Relationship Id="rId61" Type="http://schemas.openxmlformats.org/officeDocument/2006/relationships/hyperlink" Target="https://pubmed.ncbi.nlm.nih.gov/41605213/" TargetMode="External"/><Relationship Id="rId62" Type="http://schemas.openxmlformats.org/officeDocument/2006/relationships/hyperlink" Target="https://ir.mobia.com/news-releases/news-release-details/mobia-medical-announces-pricing-initial-public-offering" TargetMode="External"/><Relationship Id="rId63" Type="http://schemas.openxmlformats.org/officeDocument/2006/relationships/hyperlink" Target="https://www.sec.gov/Archives/edgar/data/1489993/000119312526344893/mobi-20260630.htm" TargetMode="External"/><Relationship Id="rId64" Type="http://schemas.openxmlformats.org/officeDocument/2006/relationships/hyperlink" Target="https://www.prnewswire.com/news-releases/aurenar-closes-oversubscribed-5-7m-seed-round-led-by-the-go-red-for-women-venture-fund-and-solas-bioventures-302835964.html" TargetMode="External"/><Relationship Id="rId65" Type="http://schemas.openxmlformats.org/officeDocument/2006/relationships/hyperlink" Target="https://www.sec.gov/Archives/edgar/data/1388658/000138865826000070/irtcq22026ex992pressrelease.htm" TargetMode="External"/><Relationship Id="rId66" Type="http://schemas.openxmlformats.org/officeDocument/2006/relationships/hyperlink" Target="https://www.sec.gov/Archives/edgar/data/885725/000088572526000053/bsx-20260630.htm" TargetMode="External"/><Relationship Id="rId67" Type="http://schemas.openxmlformats.org/officeDocument/2006/relationships/hyperlink" Target="https://www.accessdata.fda.gov/cdrh_docs/pdf25/K250507.pdf" TargetMode="External"/><Relationship Id="rId68" Type="http://schemas.openxmlformats.org/officeDocument/2006/relationships/hyperlink" Target="https://nextsense.io/products/smartbuds" TargetMode="External"/><Relationship Id="rId69" Type="http://schemas.openxmlformats.org/officeDocument/2006/relationships/hyperlink" Target="https://beacon.bio/news/beacon-biosignals-acquires-dreem-launches-at-home-sleep-monitoring-services-for-clinical-trials" TargetMode="External"/><Relationship Id="rId70" Type="http://schemas.openxmlformats.org/officeDocument/2006/relationships/hyperlink" Target="https://beacon.bio/news" TargetMode="External"/><Relationship Id="rId71" Type="http://schemas.openxmlformats.org/officeDocument/2006/relationships/hyperlink" Target="https://www.nyrada.com/annualreport/2026/" TargetMode="External"/><Relationship Id="rId72" Type="http://schemas.openxmlformats.org/officeDocument/2006/relationships/hyperlink" Target="https://www.medtronic.com/en-us/healthcare-professionals/specialties/electrophysiology/product-portfolios/insertable-cardiac-monitoring-portfolio.html" TargetMode="External"/><Relationship Id="rId73" Type="http://schemas.openxmlformats.org/officeDocument/2006/relationships/hyperlink" Target="https://www.cardiovascular.abbott/int/en/hcp/products/cardiac-rhythm-management/insertable-cardiac-monitors/assert-iq-icm.html" TargetMode="External"/><Relationship Id="rId74" Type="http://schemas.openxmlformats.org/officeDocument/2006/relationships/hyperlink" Target="https://www.usa.philips.com/healthcare/article/ambulatory-monitoring-in-cardiac-care" TargetMode="External"/><Relationship Id="rId75" Type="http://schemas.openxmlformats.org/officeDocument/2006/relationships/hyperlink" Target="https://alivecor.com/fr/press/press_release/alivecor-announces-fda-clearance-new-cardiac-determinations-kardia-12l-ecg-system" TargetMode="External"/><Relationship Id="rId76" Type="http://schemas.openxmlformats.org/officeDocument/2006/relationships/hyperlink" Target="https://www.empatica.com/epimonitor/faq/" TargetMode="External"/><Relationship Id="rId77" Type="http://schemas.openxmlformats.org/officeDocument/2006/relationships/hyperlink" Target="https://www.rapidai.com/press-release" TargetMode="External"/><Relationship Id="rId78" Type="http://schemas.openxmlformats.org/officeDocument/2006/relationships/hyperlink" Target="https://www.viz.ai/wp-content/uploads/2023/07/Viz-Neuro-Suite-Brochure-All-Products-0356-v.3-2.pdf" TargetMode="External"/><Relationship Id="rId79" Type="http://schemas.openxmlformats.org/officeDocument/2006/relationships/hyperlink" Target="https://www.fda.gov/regulatory-information/search-fda-guidance-documents/general-wellness-policy-low-risk-devices" TargetMode="External"/><Relationship Id="rId80" Type="http://schemas.openxmlformats.org/officeDocument/2006/relationships/hyperlink" Target="https://www.fda.gov/media/109618/download" TargetMode="External"/><Relationship Id="rId81" Type="http://schemas.openxmlformats.org/officeDocument/2006/relationships/hyperlink" Target="https://www.hhs.gov/hipaa/for-professionals/privacy/guidance/cell-phone-hipaa/index.html" TargetMode="External"/><Relationship Id="rId82" Type="http://schemas.openxmlformats.org/officeDocument/2006/relationships/hyperlink" Target="https://www.recormedical.com/press-releases/" TargetMode="External"/><Relationship Id="rId83" Type="http://schemas.openxmlformats.org/officeDocument/2006/relationships/hyperlink" Target="https://www.nejm.org/doi/full/10.1056/NEJMoa1306766" TargetMode="External"/><Relationship Id="rId84" Type="http://schemas.openxmlformats.org/officeDocument/2006/relationships/hyperlink" Target="https://www.nhlbi.nih.gov/sites/default/files/media/docs/Sleep%20Resilience_Program%20Booklet.pdf" TargetMode="External"/><Relationship Id="rId85" Type="http://schemas.openxmlformats.org/officeDocument/2006/relationships/hyperlink" Target="https://www.nature.com/articles/s41583-025-01000-6" TargetMode="External"/><Relationship Id="rId86" Type="http://schemas.openxmlformats.org/officeDocument/2006/relationships/hyperlink" Target="https://www.irhythmtech.com/us/en/solutions-services/fda-cleare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Neurocardia | State of the Neurocardiac Market and GPT Site Proposal</dc:title>
  <dc:subject>Heart–brain science, market landscape, and evidence-led digital experience</dc:subject>
  <dc:creator>Neurocardia research and strategy</dc:creator>
  <cp:keywords>Neurocardia; neurocardiology; heart brain; neuromodulation; site strategy</cp:keywords>
  <dc:description>Market-map correction on 29 September 2026: removed two EEG-adjacent company profiles and one financing milestone. Background bibliography retained for research provenance.</dc:description>
  <cp:lastModifiedBy/>
  <cp:revision>1</cp:revision>
  <dcterms:created xsi:type="dcterms:W3CDTF">2013-12-23T23:15:00Z</dcterms:created>
  <dcterms:modified xsi:type="dcterms:W3CDTF">2013-12-23T23:15:00Z</dcterms:modified>
  <cp:category/>
</cp:coreProperties>
</file>